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32" w:rsidRPr="00D22B8E" w:rsidRDefault="00F75A32" w:rsidP="00F75A32">
      <w:pPr>
        <w:pStyle w:val="doc-ti"/>
        <w:shd w:val="clear" w:color="auto" w:fill="FFFFFF"/>
        <w:spacing w:before="299" w:beforeAutospacing="0" w:after="15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/>
          <w:bCs/>
          <w:color w:val="444444"/>
          <w:sz w:val="20"/>
          <w:szCs w:val="20"/>
        </w:rPr>
        <w:t>UREDBA (EU) br. 650/2012 EUROPSKOG PARLAMENTA I VIJEĆA</w:t>
      </w:r>
    </w:p>
    <w:p w:rsidR="00F75A32" w:rsidRPr="00D22B8E" w:rsidRDefault="00F75A32" w:rsidP="00F75A32">
      <w:pPr>
        <w:pStyle w:val="doc-ti"/>
        <w:shd w:val="clear" w:color="auto" w:fill="FFFFFF"/>
        <w:spacing w:before="299" w:beforeAutospacing="0" w:after="15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/>
          <w:bCs/>
          <w:color w:val="444444"/>
          <w:sz w:val="20"/>
          <w:szCs w:val="20"/>
        </w:rPr>
        <w:t>od 4. srpnja 2012.</w:t>
      </w:r>
    </w:p>
    <w:p w:rsidR="00F75A32" w:rsidRDefault="00F75A32" w:rsidP="00F75A32">
      <w:pPr>
        <w:pStyle w:val="doc-ti"/>
        <w:shd w:val="clear" w:color="auto" w:fill="FFFFFF"/>
        <w:spacing w:before="299" w:beforeAutospacing="0" w:after="15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/>
          <w:bCs/>
          <w:color w:val="444444"/>
          <w:sz w:val="20"/>
          <w:szCs w:val="20"/>
        </w:rPr>
        <w:t>o nadležnosti, mjerodavnom pravu, priznavanju i izvršavanju odluka i prihvaćanju i izvršavanju javnih isprava u nasljednim stvarima i o uspostavi Europske potvrde o nasljeđivanju</w:t>
      </w:r>
    </w:p>
    <w:p w:rsidR="005944C6" w:rsidRPr="001E6C8C" w:rsidRDefault="005944C6" w:rsidP="00F75A32">
      <w:pPr>
        <w:pStyle w:val="doc-ti"/>
        <w:shd w:val="clear" w:color="auto" w:fill="FFFFFF"/>
        <w:spacing w:before="299" w:beforeAutospacing="0" w:after="150" w:afterAutospacing="0" w:line="312" w:lineRule="atLeast"/>
        <w:jc w:val="center"/>
        <w:textAlignment w:val="baseline"/>
        <w:rPr>
          <w:rFonts w:asciiTheme="minorHAnsi" w:hAnsiTheme="minorHAnsi"/>
          <w:bCs/>
          <w:color w:val="444444"/>
          <w:sz w:val="20"/>
          <w:szCs w:val="20"/>
        </w:rPr>
      </w:pPr>
      <w:r w:rsidRPr="001E6C8C">
        <w:rPr>
          <w:rFonts w:asciiTheme="minorHAnsi" w:hAnsiTheme="minorHAnsi"/>
          <w:bCs/>
          <w:color w:val="444444"/>
          <w:sz w:val="20"/>
          <w:szCs w:val="20"/>
        </w:rPr>
        <w:t>(SLUŽBENI TEKST)</w:t>
      </w:r>
    </w:p>
    <w:p w:rsidR="00F75A32" w:rsidRPr="00D22B8E" w:rsidRDefault="00F75A32" w:rsidP="00F75A32">
      <w:pPr>
        <w:pStyle w:val="doc-ti"/>
        <w:shd w:val="clear" w:color="auto" w:fill="FFFFFF"/>
        <w:spacing w:before="299" w:after="150" w:line="312" w:lineRule="atLeast"/>
        <w:jc w:val="center"/>
        <w:textAlignment w:val="baseline"/>
        <w:rPr>
          <w:rFonts w:asciiTheme="minorHAnsi" w:hAnsiTheme="minorHAnsi"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Cs/>
          <w:color w:val="444444"/>
          <w:sz w:val="20"/>
          <w:szCs w:val="20"/>
        </w:rPr>
        <w:t>POGLAVLJE I.</w:t>
      </w:r>
    </w:p>
    <w:p w:rsidR="00F75A32" w:rsidRPr="00D22B8E" w:rsidRDefault="00F75A32" w:rsidP="00F75A32">
      <w:pPr>
        <w:pStyle w:val="doc-ti"/>
        <w:shd w:val="clear" w:color="auto" w:fill="FFFFFF"/>
        <w:spacing w:before="299" w:after="150" w:line="312" w:lineRule="atLeast"/>
        <w:jc w:val="center"/>
        <w:textAlignment w:val="baseline"/>
        <w:rPr>
          <w:rFonts w:asciiTheme="minorHAnsi" w:hAnsiTheme="minorHAnsi"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Cs/>
          <w:color w:val="444444"/>
          <w:sz w:val="20"/>
          <w:szCs w:val="20"/>
        </w:rPr>
        <w:t>PODRUČJE PRIMJENE I DEFINICIJE</w:t>
      </w:r>
    </w:p>
    <w:p w:rsidR="00F75A32" w:rsidRPr="00D22B8E" w:rsidRDefault="00F75A32" w:rsidP="00F75A32">
      <w:pPr>
        <w:pStyle w:val="doc-ti"/>
        <w:shd w:val="clear" w:color="auto" w:fill="FFFFFF"/>
        <w:spacing w:before="299" w:after="150" w:line="312" w:lineRule="atLeast"/>
        <w:jc w:val="center"/>
        <w:textAlignment w:val="baseline"/>
        <w:rPr>
          <w:rFonts w:asciiTheme="minorHAnsi" w:hAnsiTheme="minorHAnsi"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Cs/>
          <w:color w:val="444444"/>
          <w:sz w:val="20"/>
          <w:szCs w:val="20"/>
        </w:rPr>
        <w:t>Članak 1.</w:t>
      </w:r>
    </w:p>
    <w:p w:rsidR="00F75A32" w:rsidRPr="00D22B8E" w:rsidRDefault="00F75A32" w:rsidP="00F75A32">
      <w:pPr>
        <w:pStyle w:val="doc-ti"/>
        <w:shd w:val="clear" w:color="auto" w:fill="FFFFFF"/>
        <w:spacing w:before="299" w:after="150" w:line="312" w:lineRule="atLeast"/>
        <w:jc w:val="center"/>
        <w:textAlignment w:val="baseline"/>
        <w:rPr>
          <w:rFonts w:asciiTheme="minorHAnsi" w:hAnsiTheme="minorHAnsi"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Cs/>
          <w:color w:val="444444"/>
          <w:sz w:val="20"/>
          <w:szCs w:val="20"/>
        </w:rPr>
        <w:t>Područje primjene</w:t>
      </w:r>
    </w:p>
    <w:p w:rsidR="00F75A32" w:rsidRPr="00D22B8E" w:rsidRDefault="00F75A32" w:rsidP="00F75A32">
      <w:pPr>
        <w:pStyle w:val="doc-ti"/>
        <w:shd w:val="clear" w:color="auto" w:fill="FFFFFF"/>
        <w:spacing w:before="299" w:after="150" w:line="312" w:lineRule="atLeast"/>
        <w:textAlignment w:val="baseline"/>
        <w:rPr>
          <w:rFonts w:asciiTheme="minorHAnsi" w:hAnsiTheme="minorHAnsi"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Cs/>
          <w:color w:val="444444"/>
          <w:sz w:val="20"/>
          <w:szCs w:val="20"/>
        </w:rPr>
        <w:t>1.   Ova Uredba primjenjuje se na nasljeđivanje zbog smrti. Ne primjenjuje na porezne, carinske ili upravne stvari.</w:t>
      </w:r>
    </w:p>
    <w:p w:rsidR="00ED0945" w:rsidRPr="00D22B8E" w:rsidRDefault="00F75A32" w:rsidP="00ED0945">
      <w:pPr>
        <w:pStyle w:val="doc-ti"/>
        <w:shd w:val="clear" w:color="auto" w:fill="FFFFFF"/>
        <w:spacing w:before="299" w:after="150" w:line="312" w:lineRule="atLeast"/>
        <w:textAlignment w:val="baseline"/>
        <w:rPr>
          <w:rFonts w:asciiTheme="minorHAnsi" w:hAnsiTheme="minorHAnsi"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Cs/>
          <w:color w:val="444444"/>
          <w:sz w:val="20"/>
          <w:szCs w:val="20"/>
        </w:rPr>
        <w:t>2.   Sljedeće je isključeno iz područja primjene ove Uredbe:</w:t>
      </w:r>
      <w:r w:rsidR="00ED0945" w:rsidRPr="00D22B8E">
        <w:rPr>
          <w:rFonts w:asciiTheme="minorHAnsi" w:hAnsiTheme="minorHAnsi"/>
          <w:bCs/>
          <w:color w:val="444444"/>
          <w:sz w:val="20"/>
          <w:szCs w:val="20"/>
        </w:rPr>
        <w:t>…</w:t>
      </w:r>
    </w:p>
    <w:p w:rsidR="00F75A32" w:rsidRPr="00D22B8E" w:rsidRDefault="00F75A32" w:rsidP="00F75A32">
      <w:pPr>
        <w:pStyle w:val="doc-ti"/>
        <w:shd w:val="clear" w:color="auto" w:fill="FFFFFF"/>
        <w:spacing w:before="299" w:after="150" w:line="312" w:lineRule="atLeast"/>
        <w:jc w:val="center"/>
        <w:textAlignment w:val="baseline"/>
        <w:rPr>
          <w:rFonts w:asciiTheme="minorHAnsi" w:hAnsiTheme="minorHAnsi"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Cs/>
          <w:color w:val="444444"/>
          <w:sz w:val="20"/>
          <w:szCs w:val="20"/>
        </w:rPr>
        <w:t>Članak 3.</w:t>
      </w:r>
    </w:p>
    <w:p w:rsidR="00F75A32" w:rsidRPr="00D22B8E" w:rsidRDefault="00F75A32" w:rsidP="00F75A32">
      <w:pPr>
        <w:pStyle w:val="doc-ti"/>
        <w:shd w:val="clear" w:color="auto" w:fill="FFFFFF"/>
        <w:spacing w:before="299" w:after="150" w:line="312" w:lineRule="atLeast"/>
        <w:jc w:val="center"/>
        <w:textAlignment w:val="baseline"/>
        <w:rPr>
          <w:rFonts w:asciiTheme="minorHAnsi" w:hAnsiTheme="minorHAnsi"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Cs/>
          <w:color w:val="444444"/>
          <w:sz w:val="20"/>
          <w:szCs w:val="20"/>
        </w:rPr>
        <w:t>Definicije</w:t>
      </w:r>
    </w:p>
    <w:p w:rsidR="00F75A32" w:rsidRPr="00D22B8E" w:rsidRDefault="00F75A32" w:rsidP="00F75A32">
      <w:pPr>
        <w:shd w:val="clear" w:color="auto" w:fill="FFFFFF"/>
        <w:spacing w:before="150" w:after="0" w:line="312" w:lineRule="atLeast"/>
        <w:textAlignment w:val="baseline"/>
        <w:rPr>
          <w:rFonts w:eastAsia="Times New Roman" w:cs="Times New Roman"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color w:val="444444"/>
          <w:sz w:val="20"/>
          <w:szCs w:val="20"/>
          <w:lang w:eastAsia="hr-HR"/>
        </w:rPr>
        <w:t>2.   Za potrebe ove Uredbe, pojam „sud” znači sva pravosudna tijela i sva ostala tijela i pravni stručnjaci s nadležnošću u nasljednim stvarima koji izvršavaju pravosudne funkcije ili postupaju u skladu s prenesenim ovlastima od strane pravosudnog tijela ili postupaju pod nadzorom pravosudnog tijela, uz uvjet da takva druga tijela i pravni stručnjaci jamče nepristranost i pravo svih stranaka na saslušanje i pod uvjetom da njihove odluke po pravu države članice u kojoj djeluju: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8648"/>
      </w:tblGrid>
      <w:tr w:rsidR="00F75A32" w:rsidRPr="00D22B8E" w:rsidTr="00F75A3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7" w:type="dxa"/>
              <w:left w:w="94" w:type="dxa"/>
              <w:bottom w:w="37" w:type="dxa"/>
              <w:right w:w="37" w:type="dxa"/>
            </w:tcMar>
            <w:hideMark/>
          </w:tcPr>
          <w:p w:rsidR="00F75A32" w:rsidRPr="00D22B8E" w:rsidRDefault="00F75A32" w:rsidP="00F75A32">
            <w:pPr>
              <w:spacing w:before="150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(a)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7" w:type="dxa"/>
              <w:left w:w="94" w:type="dxa"/>
              <w:bottom w:w="37" w:type="dxa"/>
              <w:right w:w="37" w:type="dxa"/>
            </w:tcMar>
            <w:hideMark/>
          </w:tcPr>
          <w:p w:rsidR="00F75A32" w:rsidRPr="00D22B8E" w:rsidRDefault="00F75A32" w:rsidP="00F75A32">
            <w:pPr>
              <w:spacing w:before="150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mogu biti predmet žalbe ili revizije od strane pravosudnog tijela, i</w:t>
            </w:r>
          </w:p>
        </w:tc>
      </w:tr>
    </w:tbl>
    <w:p w:rsidR="00F75A32" w:rsidRPr="00D22B8E" w:rsidRDefault="00F75A32" w:rsidP="00F75A32">
      <w:pPr>
        <w:spacing w:after="0" w:line="240" w:lineRule="auto"/>
        <w:jc w:val="left"/>
        <w:rPr>
          <w:rFonts w:eastAsia="Times New Roman" w:cs="Times New Roman"/>
          <w:vanish/>
          <w:sz w:val="20"/>
          <w:szCs w:val="20"/>
          <w:lang w:eastAsia="hr-HR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"/>
        <w:gridCol w:w="8700"/>
      </w:tblGrid>
      <w:tr w:rsidR="00F75A32" w:rsidRPr="00D22B8E" w:rsidTr="00F75A3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7" w:type="dxa"/>
              <w:left w:w="94" w:type="dxa"/>
              <w:bottom w:w="37" w:type="dxa"/>
              <w:right w:w="37" w:type="dxa"/>
            </w:tcMar>
            <w:hideMark/>
          </w:tcPr>
          <w:p w:rsidR="00F75A32" w:rsidRPr="00D22B8E" w:rsidRDefault="00F75A32" w:rsidP="00F75A32">
            <w:pPr>
              <w:spacing w:before="150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(b)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7" w:type="dxa"/>
              <w:left w:w="94" w:type="dxa"/>
              <w:bottom w:w="37" w:type="dxa"/>
              <w:right w:w="37" w:type="dxa"/>
            </w:tcMar>
            <w:hideMark/>
          </w:tcPr>
          <w:p w:rsidR="00F75A32" w:rsidRPr="00D22B8E" w:rsidRDefault="00F75A32" w:rsidP="00F75A32">
            <w:pPr>
              <w:spacing w:before="150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imaju sličnu valjanost i učinak kao i odluka pravosudnog tijela o istoj stvari.</w:t>
            </w:r>
          </w:p>
        </w:tc>
      </w:tr>
    </w:tbl>
    <w:p w:rsidR="009442AE" w:rsidRPr="00D22B8E" w:rsidRDefault="009442AE" w:rsidP="009442AE">
      <w:pPr>
        <w:pStyle w:val="ti-section-1"/>
        <w:shd w:val="clear" w:color="auto" w:fill="FFFFFF"/>
        <w:spacing w:before="598" w:beforeAutospacing="0" w:after="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/>
          <w:bCs/>
          <w:color w:val="444444"/>
          <w:sz w:val="20"/>
          <w:szCs w:val="20"/>
        </w:rPr>
        <w:t>POGLAVLJE II.</w:t>
      </w:r>
    </w:p>
    <w:p w:rsidR="009442AE" w:rsidRPr="00D22B8E" w:rsidRDefault="009442AE" w:rsidP="009442AE">
      <w:pPr>
        <w:pStyle w:val="ti-section-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Style w:val="bold"/>
          <w:rFonts w:asciiTheme="minorHAnsi" w:hAnsiTheme="minorHAnsi"/>
          <w:b/>
          <w:bCs/>
          <w:color w:val="444444"/>
          <w:sz w:val="20"/>
          <w:szCs w:val="20"/>
          <w:bdr w:val="none" w:sz="0" w:space="0" w:color="auto" w:frame="1"/>
        </w:rPr>
        <w:t>NADLEŽNOST</w:t>
      </w:r>
    </w:p>
    <w:p w:rsidR="009442AE" w:rsidRPr="00D22B8E" w:rsidRDefault="009442AE" w:rsidP="009442AE">
      <w:pPr>
        <w:pStyle w:val="ti-art"/>
        <w:shd w:val="clear" w:color="auto" w:fill="FFFFFF"/>
        <w:spacing w:before="449" w:beforeAutospacing="0" w:after="150" w:afterAutospacing="0" w:line="312" w:lineRule="atLeast"/>
        <w:jc w:val="center"/>
        <w:textAlignment w:val="baseline"/>
        <w:rPr>
          <w:rFonts w:asciiTheme="minorHAnsi" w:hAnsiTheme="minorHAnsi"/>
          <w:i/>
          <w:iCs/>
          <w:color w:val="444444"/>
          <w:sz w:val="20"/>
          <w:szCs w:val="20"/>
        </w:rPr>
      </w:pPr>
      <w:r w:rsidRPr="00D22B8E">
        <w:rPr>
          <w:rFonts w:asciiTheme="minorHAnsi" w:hAnsiTheme="minorHAnsi"/>
          <w:i/>
          <w:iCs/>
          <w:color w:val="444444"/>
          <w:sz w:val="20"/>
          <w:szCs w:val="20"/>
        </w:rPr>
        <w:t>Članak 4.</w:t>
      </w:r>
    </w:p>
    <w:p w:rsidR="009442AE" w:rsidRPr="00D22B8E" w:rsidRDefault="009442AE" w:rsidP="009442AE">
      <w:pPr>
        <w:pStyle w:val="sti-art"/>
        <w:shd w:val="clear" w:color="auto" w:fill="FFFFFF"/>
        <w:spacing w:before="75" w:beforeAutospacing="0" w:after="15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/>
          <w:bCs/>
          <w:color w:val="444444"/>
          <w:sz w:val="20"/>
          <w:szCs w:val="20"/>
        </w:rPr>
        <w:t>Opća nadležnost</w:t>
      </w:r>
    </w:p>
    <w:p w:rsidR="009442AE" w:rsidRPr="00D22B8E" w:rsidRDefault="009442AE" w:rsidP="009442AE">
      <w:pPr>
        <w:pStyle w:val="normal0"/>
        <w:shd w:val="clear" w:color="auto" w:fill="FFFFFF"/>
        <w:spacing w:before="150" w:beforeAutospacing="0" w:after="0" w:afterAutospacing="0" w:line="312" w:lineRule="atLeast"/>
        <w:jc w:val="both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22B8E">
        <w:rPr>
          <w:rFonts w:asciiTheme="minorHAnsi" w:hAnsiTheme="minorHAnsi"/>
          <w:color w:val="444444"/>
          <w:sz w:val="20"/>
          <w:szCs w:val="20"/>
        </w:rPr>
        <w:lastRenderedPageBreak/>
        <w:t>Sudovi države članice u kojoj je umrli imao svoje uobičajeno boravište u trenutku smrti imaju nadležnost odlučivati o nasljeđivanju u cijelosti.</w:t>
      </w:r>
    </w:p>
    <w:p w:rsidR="009442AE" w:rsidRPr="00D22B8E" w:rsidRDefault="009442AE" w:rsidP="009442AE">
      <w:pPr>
        <w:pStyle w:val="ti-art"/>
        <w:shd w:val="clear" w:color="auto" w:fill="FFFFFF"/>
        <w:spacing w:before="449" w:beforeAutospacing="0" w:after="150" w:afterAutospacing="0" w:line="312" w:lineRule="atLeast"/>
        <w:jc w:val="center"/>
        <w:textAlignment w:val="baseline"/>
        <w:rPr>
          <w:rFonts w:asciiTheme="minorHAnsi" w:hAnsiTheme="minorHAnsi"/>
          <w:i/>
          <w:iCs/>
          <w:color w:val="444444"/>
          <w:sz w:val="20"/>
          <w:szCs w:val="20"/>
        </w:rPr>
      </w:pPr>
      <w:r w:rsidRPr="00D22B8E">
        <w:rPr>
          <w:rFonts w:asciiTheme="minorHAnsi" w:hAnsiTheme="minorHAnsi"/>
          <w:i/>
          <w:iCs/>
          <w:color w:val="444444"/>
          <w:sz w:val="20"/>
          <w:szCs w:val="20"/>
        </w:rPr>
        <w:t>Članak 5.</w:t>
      </w:r>
    </w:p>
    <w:p w:rsidR="009442AE" w:rsidRPr="00D22B8E" w:rsidRDefault="009442AE" w:rsidP="009442AE">
      <w:pPr>
        <w:pStyle w:val="sti-art"/>
        <w:shd w:val="clear" w:color="auto" w:fill="FFFFFF"/>
        <w:spacing w:before="75" w:beforeAutospacing="0" w:after="15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/>
          <w:bCs/>
          <w:color w:val="444444"/>
          <w:sz w:val="20"/>
          <w:szCs w:val="20"/>
        </w:rPr>
        <w:t>Sporazum o izboru suda</w:t>
      </w:r>
    </w:p>
    <w:p w:rsidR="009442AE" w:rsidRPr="00D22B8E" w:rsidRDefault="009442AE" w:rsidP="009442AE">
      <w:pPr>
        <w:pStyle w:val="normal0"/>
        <w:shd w:val="clear" w:color="auto" w:fill="FFFFFF"/>
        <w:spacing w:before="150" w:beforeAutospacing="0" w:after="0" w:afterAutospacing="0" w:line="312" w:lineRule="atLeast"/>
        <w:jc w:val="both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22B8E">
        <w:rPr>
          <w:rFonts w:asciiTheme="minorHAnsi" w:hAnsiTheme="minorHAnsi"/>
          <w:color w:val="444444"/>
          <w:sz w:val="20"/>
          <w:szCs w:val="20"/>
        </w:rPr>
        <w:t>1.   Ako je pravo koje je umrli izabrao za uređenje svojeg nasljeđivanja u skladu s člankom 22. pravo države članice, stranke na koje se to odnosi mogu se sporazumjeti da sud ili sudovi te države članice imaju isključivu nadležnost odlučivati o svim nasljednim stvarima.</w:t>
      </w:r>
    </w:p>
    <w:p w:rsidR="009442AE" w:rsidRPr="00D22B8E" w:rsidRDefault="009442AE" w:rsidP="009442AE">
      <w:pPr>
        <w:pStyle w:val="normal0"/>
        <w:shd w:val="clear" w:color="auto" w:fill="FFFFFF"/>
        <w:spacing w:before="150" w:beforeAutospacing="0" w:after="0" w:afterAutospacing="0" w:line="312" w:lineRule="atLeast"/>
        <w:jc w:val="both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22B8E">
        <w:rPr>
          <w:rFonts w:asciiTheme="minorHAnsi" w:hAnsiTheme="minorHAnsi"/>
          <w:color w:val="444444"/>
          <w:sz w:val="20"/>
          <w:szCs w:val="20"/>
        </w:rPr>
        <w:t>2.   Takav sporazum o izboru suda mora biti u pisanom obliku i datiraju ga i potpisuju stranke na koje se to odnosi. Svako priopćenje elektroničkim sredstvima koja osiguravaju trajni zapis sporazuma smatra se jednakovrijednim pisanom obliku.</w:t>
      </w:r>
    </w:p>
    <w:p w:rsidR="009442AE" w:rsidRPr="00D22B8E" w:rsidRDefault="009442AE" w:rsidP="009442AE">
      <w:pPr>
        <w:shd w:val="clear" w:color="auto" w:fill="FFFFFF"/>
        <w:spacing w:before="449" w:after="150" w:line="312" w:lineRule="atLeast"/>
        <w:jc w:val="center"/>
        <w:textAlignment w:val="baseline"/>
        <w:rPr>
          <w:rFonts w:eastAsia="Times New Roman" w:cs="Times New Roman"/>
          <w:i/>
          <w:iCs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i/>
          <w:iCs/>
          <w:color w:val="444444"/>
          <w:sz w:val="20"/>
          <w:szCs w:val="20"/>
          <w:lang w:eastAsia="hr-HR"/>
        </w:rPr>
        <w:t>Članak 10.</w:t>
      </w:r>
    </w:p>
    <w:p w:rsidR="009442AE" w:rsidRPr="00D22B8E" w:rsidRDefault="009442AE" w:rsidP="009442AE">
      <w:pPr>
        <w:shd w:val="clear" w:color="auto" w:fill="FFFFFF"/>
        <w:spacing w:before="75" w:after="150" w:line="312" w:lineRule="atLeast"/>
        <w:jc w:val="center"/>
        <w:textAlignment w:val="baseline"/>
        <w:rPr>
          <w:rFonts w:eastAsia="Times New Roman" w:cs="Times New Roman"/>
          <w:b/>
          <w:bCs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b/>
          <w:bCs/>
          <w:color w:val="444444"/>
          <w:sz w:val="20"/>
          <w:szCs w:val="20"/>
          <w:lang w:eastAsia="hr-HR"/>
        </w:rPr>
        <w:t>Supsidijarna nadležnost</w:t>
      </w:r>
    </w:p>
    <w:p w:rsidR="009442AE" w:rsidRPr="00D22B8E" w:rsidRDefault="009442AE" w:rsidP="009442AE">
      <w:pPr>
        <w:shd w:val="clear" w:color="auto" w:fill="FFFFFF"/>
        <w:spacing w:before="150" w:after="0" w:line="312" w:lineRule="atLeast"/>
        <w:textAlignment w:val="baseline"/>
        <w:rPr>
          <w:rFonts w:eastAsia="Times New Roman" w:cs="Times New Roman"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color w:val="444444"/>
          <w:sz w:val="20"/>
          <w:szCs w:val="20"/>
          <w:lang w:eastAsia="hr-HR"/>
        </w:rPr>
        <w:t>1.   Ako se uobičajeno boravište umrlog u trenutku smrti ne nalazi u državi članici, sudovi države članice u kojoj se nalazi imovina ostavine svejedno imaju nadležnost odlučivati o nasljeđivanju u cijelosti: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"/>
        <w:gridCol w:w="8776"/>
      </w:tblGrid>
      <w:tr w:rsidR="009442AE" w:rsidRPr="00D22B8E" w:rsidTr="009442A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7" w:type="dxa"/>
              <w:left w:w="94" w:type="dxa"/>
              <w:bottom w:w="37" w:type="dxa"/>
              <w:right w:w="37" w:type="dxa"/>
            </w:tcMar>
            <w:hideMark/>
          </w:tcPr>
          <w:p w:rsidR="009442AE" w:rsidRPr="00D22B8E" w:rsidRDefault="009442AE" w:rsidP="009442AE">
            <w:pPr>
              <w:spacing w:before="150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(a)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7" w:type="dxa"/>
              <w:left w:w="94" w:type="dxa"/>
              <w:bottom w:w="37" w:type="dxa"/>
              <w:right w:w="37" w:type="dxa"/>
            </w:tcMar>
            <w:hideMark/>
          </w:tcPr>
          <w:p w:rsidR="009442AE" w:rsidRPr="00D22B8E" w:rsidRDefault="009442AE" w:rsidP="009442AE">
            <w:pPr>
              <w:spacing w:before="150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ako je umrli imao državljanstvo te države članice u trenutku smrti; ili, ako to nije slučaj,</w:t>
            </w:r>
          </w:p>
        </w:tc>
      </w:tr>
    </w:tbl>
    <w:p w:rsidR="009442AE" w:rsidRPr="00D22B8E" w:rsidRDefault="009442AE" w:rsidP="009442AE">
      <w:pPr>
        <w:spacing w:after="0" w:line="240" w:lineRule="auto"/>
        <w:jc w:val="left"/>
        <w:rPr>
          <w:rFonts w:eastAsia="Times New Roman" w:cs="Times New Roman"/>
          <w:vanish/>
          <w:sz w:val="20"/>
          <w:szCs w:val="20"/>
          <w:lang w:eastAsia="hr-HR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"/>
        <w:gridCol w:w="8845"/>
      </w:tblGrid>
      <w:tr w:rsidR="009442AE" w:rsidRPr="00D22B8E" w:rsidTr="009442A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7" w:type="dxa"/>
              <w:left w:w="94" w:type="dxa"/>
              <w:bottom w:w="37" w:type="dxa"/>
              <w:right w:w="37" w:type="dxa"/>
            </w:tcMar>
            <w:hideMark/>
          </w:tcPr>
          <w:p w:rsidR="009442AE" w:rsidRPr="00D22B8E" w:rsidRDefault="009442AE" w:rsidP="009442AE">
            <w:pPr>
              <w:spacing w:before="150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(b)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7" w:type="dxa"/>
              <w:left w:w="94" w:type="dxa"/>
              <w:bottom w:w="37" w:type="dxa"/>
              <w:right w:w="37" w:type="dxa"/>
            </w:tcMar>
            <w:hideMark/>
          </w:tcPr>
          <w:p w:rsidR="009442AE" w:rsidRPr="00D22B8E" w:rsidRDefault="009442AE" w:rsidP="009442AE">
            <w:pPr>
              <w:spacing w:before="150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ako je umrli imao svoje prethodno uobičajeno boravište u toj državi članici, pod uvjetom da u trenutku kada je postupak pokrenut pred sudom nije proteklo više od pet godina od promjene tog uobičajenog boravišta.</w:t>
            </w:r>
          </w:p>
        </w:tc>
      </w:tr>
    </w:tbl>
    <w:p w:rsidR="009442AE" w:rsidRPr="00D22B8E" w:rsidRDefault="009442AE" w:rsidP="009442AE">
      <w:pPr>
        <w:shd w:val="clear" w:color="auto" w:fill="FFFFFF"/>
        <w:spacing w:before="150" w:after="0" w:line="312" w:lineRule="atLeast"/>
        <w:textAlignment w:val="baseline"/>
        <w:rPr>
          <w:rFonts w:eastAsia="Times New Roman" w:cs="Times New Roman"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color w:val="444444"/>
          <w:sz w:val="20"/>
          <w:szCs w:val="20"/>
          <w:lang w:eastAsia="hr-HR"/>
        </w:rPr>
        <w:t>2.   Ako nijedan sud u državi članici nema nadležnost prema stavku 1., sudovi države članice u kojoj se nalazi imovina ostavine svejedno imaju nadležnost odlučivati o toj imovini.</w:t>
      </w:r>
    </w:p>
    <w:p w:rsidR="009442AE" w:rsidRPr="00D22B8E" w:rsidRDefault="009442AE" w:rsidP="009442AE">
      <w:pPr>
        <w:shd w:val="clear" w:color="auto" w:fill="FFFFFF"/>
        <w:spacing w:before="449" w:after="150" w:line="312" w:lineRule="atLeast"/>
        <w:jc w:val="center"/>
        <w:textAlignment w:val="baseline"/>
        <w:rPr>
          <w:rFonts w:eastAsia="Times New Roman" w:cs="Times New Roman"/>
          <w:i/>
          <w:iCs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i/>
          <w:iCs/>
          <w:color w:val="444444"/>
          <w:sz w:val="20"/>
          <w:szCs w:val="20"/>
          <w:lang w:eastAsia="hr-HR"/>
        </w:rPr>
        <w:t>Članak 12.</w:t>
      </w:r>
    </w:p>
    <w:p w:rsidR="009442AE" w:rsidRPr="00D22B8E" w:rsidRDefault="009442AE" w:rsidP="009442AE">
      <w:pPr>
        <w:shd w:val="clear" w:color="auto" w:fill="FFFFFF"/>
        <w:spacing w:before="75" w:after="150" w:line="312" w:lineRule="atLeast"/>
        <w:jc w:val="center"/>
        <w:textAlignment w:val="baseline"/>
        <w:rPr>
          <w:rFonts w:eastAsia="Times New Roman" w:cs="Times New Roman"/>
          <w:b/>
          <w:bCs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b/>
          <w:bCs/>
          <w:color w:val="444444"/>
          <w:sz w:val="20"/>
          <w:szCs w:val="20"/>
          <w:lang w:eastAsia="hr-HR"/>
        </w:rPr>
        <w:t>Ograničenje postupka</w:t>
      </w:r>
    </w:p>
    <w:p w:rsidR="009442AE" w:rsidRPr="00D22B8E" w:rsidRDefault="009442AE" w:rsidP="009442AE">
      <w:pPr>
        <w:shd w:val="clear" w:color="auto" w:fill="FFFFFF"/>
        <w:spacing w:before="150" w:after="0" w:line="312" w:lineRule="atLeast"/>
        <w:textAlignment w:val="baseline"/>
        <w:rPr>
          <w:rFonts w:eastAsia="Times New Roman" w:cs="Times New Roman"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color w:val="444444"/>
          <w:sz w:val="20"/>
          <w:szCs w:val="20"/>
          <w:lang w:eastAsia="hr-HR"/>
        </w:rPr>
        <w:t>1.   Ako se ostavina umrlog sastoji od imovine smještene u trećoj državi, sud koji treba odlučiti o nasljeđivanju može, na zahtjev jedne od stranaka, odlučiti da neće odlučiti o nekom dijelu te imovine ako se može očekivati da njegova odluka u pogledu tog dijela imovine neće biti priznata i, prema potrebi, proglašena izvršivom u toj trećoj državi.</w:t>
      </w:r>
    </w:p>
    <w:p w:rsidR="009442AE" w:rsidRPr="00D22B8E" w:rsidRDefault="009442AE" w:rsidP="009442AE">
      <w:pPr>
        <w:shd w:val="clear" w:color="auto" w:fill="FFFFFF"/>
        <w:spacing w:before="150" w:after="0" w:line="312" w:lineRule="atLeast"/>
        <w:textAlignment w:val="baseline"/>
        <w:rPr>
          <w:rFonts w:eastAsia="Times New Roman" w:cs="Times New Roman"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color w:val="444444"/>
          <w:sz w:val="20"/>
          <w:szCs w:val="20"/>
          <w:lang w:eastAsia="hr-HR"/>
        </w:rPr>
        <w:t>2.   Stavak 1. ne utječe na pravo stranaka da ograniče opseg postupka po pravu države članice suda pred kojim je postupak pokrenut.</w:t>
      </w:r>
    </w:p>
    <w:p w:rsidR="009442AE" w:rsidRPr="00D22B8E" w:rsidRDefault="009442AE" w:rsidP="009442AE">
      <w:pPr>
        <w:pStyle w:val="ti-section-1"/>
        <w:shd w:val="clear" w:color="auto" w:fill="FFFFFF"/>
        <w:spacing w:before="598" w:beforeAutospacing="0" w:after="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/>
          <w:bCs/>
          <w:color w:val="444444"/>
          <w:sz w:val="20"/>
          <w:szCs w:val="20"/>
        </w:rPr>
        <w:t>POGLAVLJE III.</w:t>
      </w:r>
    </w:p>
    <w:p w:rsidR="009442AE" w:rsidRPr="00D22B8E" w:rsidRDefault="009442AE" w:rsidP="009442AE">
      <w:pPr>
        <w:pStyle w:val="ti-section-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Style w:val="bold"/>
          <w:rFonts w:asciiTheme="minorHAnsi" w:hAnsiTheme="minorHAnsi"/>
          <w:b/>
          <w:bCs/>
          <w:color w:val="444444"/>
          <w:sz w:val="20"/>
          <w:szCs w:val="20"/>
          <w:bdr w:val="none" w:sz="0" w:space="0" w:color="auto" w:frame="1"/>
        </w:rPr>
        <w:t>MJERODAVNO PRAVO</w:t>
      </w:r>
    </w:p>
    <w:p w:rsidR="009442AE" w:rsidRPr="00D22B8E" w:rsidRDefault="009442AE" w:rsidP="009442AE">
      <w:pPr>
        <w:pStyle w:val="ti-art"/>
        <w:shd w:val="clear" w:color="auto" w:fill="FFFFFF"/>
        <w:spacing w:before="449" w:beforeAutospacing="0" w:after="150" w:afterAutospacing="0" w:line="312" w:lineRule="atLeast"/>
        <w:jc w:val="center"/>
        <w:textAlignment w:val="baseline"/>
        <w:rPr>
          <w:rFonts w:asciiTheme="minorHAnsi" w:hAnsiTheme="minorHAnsi"/>
          <w:i/>
          <w:iCs/>
          <w:color w:val="444444"/>
          <w:sz w:val="20"/>
          <w:szCs w:val="20"/>
        </w:rPr>
      </w:pPr>
      <w:r w:rsidRPr="00D22B8E">
        <w:rPr>
          <w:rFonts w:asciiTheme="minorHAnsi" w:hAnsiTheme="minorHAnsi"/>
          <w:i/>
          <w:iCs/>
          <w:color w:val="444444"/>
          <w:sz w:val="20"/>
          <w:szCs w:val="20"/>
        </w:rPr>
        <w:t>Članak 20.</w:t>
      </w:r>
    </w:p>
    <w:p w:rsidR="009442AE" w:rsidRPr="00D22B8E" w:rsidRDefault="009442AE" w:rsidP="009442AE">
      <w:pPr>
        <w:pStyle w:val="sti-art"/>
        <w:shd w:val="clear" w:color="auto" w:fill="FFFFFF"/>
        <w:spacing w:before="75" w:beforeAutospacing="0" w:after="15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/>
          <w:bCs/>
          <w:color w:val="444444"/>
          <w:sz w:val="20"/>
          <w:szCs w:val="20"/>
        </w:rPr>
        <w:lastRenderedPageBreak/>
        <w:t>Opća primjena</w:t>
      </w:r>
    </w:p>
    <w:p w:rsidR="009442AE" w:rsidRPr="00D22B8E" w:rsidRDefault="009442AE" w:rsidP="009442AE">
      <w:pPr>
        <w:pStyle w:val="normal0"/>
        <w:shd w:val="clear" w:color="auto" w:fill="FFFFFF"/>
        <w:spacing w:before="150" w:beforeAutospacing="0" w:after="0" w:afterAutospacing="0" w:line="312" w:lineRule="atLeast"/>
        <w:jc w:val="both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22B8E">
        <w:rPr>
          <w:rFonts w:asciiTheme="minorHAnsi" w:hAnsiTheme="minorHAnsi"/>
          <w:color w:val="444444"/>
          <w:sz w:val="20"/>
          <w:szCs w:val="20"/>
        </w:rPr>
        <w:t>Svako pravo na koje upućuje ova Uredba primjenjuje se bez obzira na to je li to pravo države članice.</w:t>
      </w:r>
    </w:p>
    <w:p w:rsidR="009442AE" w:rsidRPr="00D22B8E" w:rsidRDefault="009442AE" w:rsidP="009442AE">
      <w:pPr>
        <w:pStyle w:val="ti-art"/>
        <w:shd w:val="clear" w:color="auto" w:fill="FFFFFF"/>
        <w:spacing w:before="449" w:beforeAutospacing="0" w:after="150" w:afterAutospacing="0" w:line="312" w:lineRule="atLeast"/>
        <w:jc w:val="center"/>
        <w:textAlignment w:val="baseline"/>
        <w:rPr>
          <w:rFonts w:asciiTheme="minorHAnsi" w:hAnsiTheme="minorHAnsi"/>
          <w:i/>
          <w:iCs/>
          <w:color w:val="444444"/>
          <w:sz w:val="20"/>
          <w:szCs w:val="20"/>
        </w:rPr>
      </w:pPr>
      <w:r w:rsidRPr="00D22B8E">
        <w:rPr>
          <w:rFonts w:asciiTheme="minorHAnsi" w:hAnsiTheme="minorHAnsi"/>
          <w:i/>
          <w:iCs/>
          <w:color w:val="444444"/>
          <w:sz w:val="20"/>
          <w:szCs w:val="20"/>
        </w:rPr>
        <w:t>Članak 21.</w:t>
      </w:r>
    </w:p>
    <w:p w:rsidR="009442AE" w:rsidRPr="00D22B8E" w:rsidRDefault="009442AE" w:rsidP="009442AE">
      <w:pPr>
        <w:pStyle w:val="sti-art"/>
        <w:shd w:val="clear" w:color="auto" w:fill="FFFFFF"/>
        <w:spacing w:before="75" w:beforeAutospacing="0" w:after="15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/>
          <w:bCs/>
          <w:color w:val="444444"/>
          <w:sz w:val="20"/>
          <w:szCs w:val="20"/>
        </w:rPr>
        <w:t>Opće pravilo</w:t>
      </w:r>
    </w:p>
    <w:p w:rsidR="009442AE" w:rsidRPr="00D22B8E" w:rsidRDefault="009442AE" w:rsidP="009442AE">
      <w:pPr>
        <w:pStyle w:val="normal0"/>
        <w:shd w:val="clear" w:color="auto" w:fill="FFFFFF"/>
        <w:spacing w:before="150" w:beforeAutospacing="0" w:after="0" w:afterAutospacing="0" w:line="312" w:lineRule="atLeast"/>
        <w:jc w:val="both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22B8E">
        <w:rPr>
          <w:rFonts w:asciiTheme="minorHAnsi" w:hAnsiTheme="minorHAnsi"/>
          <w:color w:val="444444"/>
          <w:sz w:val="20"/>
          <w:szCs w:val="20"/>
        </w:rPr>
        <w:t>1.   Osim ako je drukčije predviđeno ovom Uredbom, pravo mjerodavno za nasljeđivanje u cijelosti pravo je države u kojoj je umrli imao svoje uobičajeno boravište u trenutku smrti.</w:t>
      </w:r>
    </w:p>
    <w:p w:rsidR="009442AE" w:rsidRPr="00D22B8E" w:rsidRDefault="009442AE" w:rsidP="009442AE">
      <w:pPr>
        <w:pStyle w:val="normal0"/>
        <w:shd w:val="clear" w:color="auto" w:fill="FFFFFF"/>
        <w:spacing w:before="150" w:beforeAutospacing="0" w:after="0" w:afterAutospacing="0" w:line="312" w:lineRule="atLeast"/>
        <w:jc w:val="both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22B8E">
        <w:rPr>
          <w:rFonts w:asciiTheme="minorHAnsi" w:hAnsiTheme="minorHAnsi"/>
          <w:color w:val="444444"/>
          <w:sz w:val="20"/>
          <w:szCs w:val="20"/>
        </w:rPr>
        <w:t>2.   Ako je, kao izuzetak, jasno iz svih okolnosti slučaja da je u trenutku smrti umrli bio očigledno bliže povezan s državom koja nije država čije bi pravo bilo mjerodavno po stavku 1., pravo mjerodavno za nasljeđivanje je pravo te druge države.</w:t>
      </w:r>
    </w:p>
    <w:p w:rsidR="009442AE" w:rsidRPr="00D22B8E" w:rsidRDefault="009442AE" w:rsidP="009442AE">
      <w:pPr>
        <w:pStyle w:val="ti-art"/>
        <w:shd w:val="clear" w:color="auto" w:fill="FFFFFF"/>
        <w:spacing w:before="449" w:beforeAutospacing="0" w:after="150" w:afterAutospacing="0" w:line="312" w:lineRule="atLeast"/>
        <w:jc w:val="center"/>
        <w:textAlignment w:val="baseline"/>
        <w:rPr>
          <w:rFonts w:asciiTheme="minorHAnsi" w:hAnsiTheme="minorHAnsi"/>
          <w:i/>
          <w:iCs/>
          <w:color w:val="444444"/>
          <w:sz w:val="20"/>
          <w:szCs w:val="20"/>
        </w:rPr>
      </w:pPr>
      <w:r w:rsidRPr="00D22B8E">
        <w:rPr>
          <w:rFonts w:asciiTheme="minorHAnsi" w:hAnsiTheme="minorHAnsi"/>
          <w:i/>
          <w:iCs/>
          <w:color w:val="444444"/>
          <w:sz w:val="20"/>
          <w:szCs w:val="20"/>
        </w:rPr>
        <w:t>Članak 22.</w:t>
      </w:r>
    </w:p>
    <w:p w:rsidR="009442AE" w:rsidRPr="00D22B8E" w:rsidRDefault="009442AE" w:rsidP="009442AE">
      <w:pPr>
        <w:pStyle w:val="sti-art"/>
        <w:shd w:val="clear" w:color="auto" w:fill="FFFFFF"/>
        <w:spacing w:before="75" w:beforeAutospacing="0" w:after="15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/>
          <w:bCs/>
          <w:color w:val="444444"/>
          <w:sz w:val="20"/>
          <w:szCs w:val="20"/>
        </w:rPr>
        <w:t>Izbor prava</w:t>
      </w:r>
    </w:p>
    <w:p w:rsidR="009442AE" w:rsidRPr="00D22B8E" w:rsidRDefault="009442AE" w:rsidP="009442AE">
      <w:pPr>
        <w:pStyle w:val="normal0"/>
        <w:shd w:val="clear" w:color="auto" w:fill="FFFFFF"/>
        <w:spacing w:before="150" w:beforeAutospacing="0" w:after="0" w:afterAutospacing="0" w:line="312" w:lineRule="atLeast"/>
        <w:jc w:val="both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22B8E">
        <w:rPr>
          <w:rFonts w:asciiTheme="minorHAnsi" w:hAnsiTheme="minorHAnsi"/>
          <w:color w:val="444444"/>
          <w:sz w:val="20"/>
          <w:szCs w:val="20"/>
        </w:rPr>
        <w:t>1.   Osoba može za pravo koje će urediti u cijelost njezino nasljeđivanje izabrati pravo države čiji je državljanin u trenutku izbora ili u trenutku smrti.</w:t>
      </w:r>
    </w:p>
    <w:p w:rsidR="009442AE" w:rsidRPr="00D22B8E" w:rsidRDefault="009442AE" w:rsidP="009442AE">
      <w:pPr>
        <w:pStyle w:val="normal0"/>
        <w:shd w:val="clear" w:color="auto" w:fill="FFFFFF"/>
        <w:spacing w:before="150" w:beforeAutospacing="0" w:after="0" w:afterAutospacing="0" w:line="312" w:lineRule="atLeast"/>
        <w:jc w:val="both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22B8E">
        <w:rPr>
          <w:rFonts w:asciiTheme="minorHAnsi" w:hAnsiTheme="minorHAnsi"/>
          <w:color w:val="444444"/>
          <w:sz w:val="20"/>
          <w:szCs w:val="20"/>
        </w:rPr>
        <w:t>Osoba s više državljanstava može izabrati pravo bilo koje od tih država čijih je ona državljanin u trenutku izbora ili u trenutku smrti.</w:t>
      </w:r>
    </w:p>
    <w:p w:rsidR="009442AE" w:rsidRPr="00D22B8E" w:rsidRDefault="009442AE" w:rsidP="009442AE">
      <w:pPr>
        <w:pStyle w:val="normal0"/>
        <w:shd w:val="clear" w:color="auto" w:fill="FFFFFF"/>
        <w:spacing w:before="150" w:beforeAutospacing="0" w:after="0" w:afterAutospacing="0" w:line="312" w:lineRule="atLeast"/>
        <w:jc w:val="both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22B8E">
        <w:rPr>
          <w:rFonts w:asciiTheme="minorHAnsi" w:hAnsiTheme="minorHAnsi"/>
          <w:color w:val="444444"/>
          <w:sz w:val="20"/>
          <w:szCs w:val="20"/>
        </w:rPr>
        <w:t>2.   Izbor prava se vrši izričito u izjavi u obliku raspolaganja imovinom zbog smrti ili slijedi iz odredaba takvog raspolaganja.</w:t>
      </w:r>
    </w:p>
    <w:p w:rsidR="009442AE" w:rsidRPr="00D22B8E" w:rsidRDefault="009442AE" w:rsidP="009442AE">
      <w:pPr>
        <w:pStyle w:val="normal0"/>
        <w:shd w:val="clear" w:color="auto" w:fill="FFFFFF"/>
        <w:spacing w:before="150" w:beforeAutospacing="0" w:after="0" w:afterAutospacing="0" w:line="312" w:lineRule="atLeast"/>
        <w:jc w:val="both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22B8E">
        <w:rPr>
          <w:rFonts w:asciiTheme="minorHAnsi" w:hAnsiTheme="minorHAnsi"/>
          <w:color w:val="444444"/>
          <w:sz w:val="20"/>
          <w:szCs w:val="20"/>
        </w:rPr>
        <w:t>3.   Materijalnu valjanost čina kojim je izabrano pravo uređuje izabrano pravo.</w:t>
      </w:r>
    </w:p>
    <w:p w:rsidR="009442AE" w:rsidRPr="00D22B8E" w:rsidRDefault="009442AE" w:rsidP="009442AE">
      <w:pPr>
        <w:pStyle w:val="normal0"/>
        <w:shd w:val="clear" w:color="auto" w:fill="FFFFFF"/>
        <w:spacing w:before="150" w:beforeAutospacing="0" w:after="0" w:afterAutospacing="0" w:line="312" w:lineRule="atLeast"/>
        <w:jc w:val="both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22B8E">
        <w:rPr>
          <w:rFonts w:asciiTheme="minorHAnsi" w:hAnsiTheme="minorHAnsi"/>
          <w:color w:val="444444"/>
          <w:sz w:val="20"/>
          <w:szCs w:val="20"/>
        </w:rPr>
        <w:t>4.   Svaka promjena ili opoziv izbora prava moraju ispunjavati zahtjeve u pogledu oblika promjene ili opoziva raspolaganja imovinom zbog smrti.</w:t>
      </w:r>
    </w:p>
    <w:p w:rsidR="009442AE" w:rsidRPr="00D22B8E" w:rsidRDefault="009442AE" w:rsidP="009442AE">
      <w:pPr>
        <w:pStyle w:val="ti-art"/>
        <w:shd w:val="clear" w:color="auto" w:fill="FFFFFF"/>
        <w:spacing w:before="449" w:beforeAutospacing="0" w:after="150" w:afterAutospacing="0" w:line="312" w:lineRule="atLeast"/>
        <w:jc w:val="center"/>
        <w:textAlignment w:val="baseline"/>
        <w:rPr>
          <w:rFonts w:asciiTheme="minorHAnsi" w:hAnsiTheme="minorHAnsi"/>
          <w:i/>
          <w:iCs/>
          <w:color w:val="444444"/>
          <w:sz w:val="20"/>
          <w:szCs w:val="20"/>
        </w:rPr>
      </w:pPr>
      <w:r w:rsidRPr="00D22B8E">
        <w:rPr>
          <w:rFonts w:asciiTheme="minorHAnsi" w:hAnsiTheme="minorHAnsi"/>
          <w:i/>
          <w:iCs/>
          <w:color w:val="444444"/>
          <w:sz w:val="20"/>
          <w:szCs w:val="20"/>
        </w:rPr>
        <w:t>Članak 24.</w:t>
      </w:r>
    </w:p>
    <w:p w:rsidR="009442AE" w:rsidRPr="00D22B8E" w:rsidRDefault="009442AE" w:rsidP="009442AE">
      <w:pPr>
        <w:pStyle w:val="sti-art"/>
        <w:shd w:val="clear" w:color="auto" w:fill="FFFFFF"/>
        <w:spacing w:before="75" w:beforeAutospacing="0" w:after="15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/>
          <w:bCs/>
          <w:color w:val="444444"/>
          <w:sz w:val="20"/>
          <w:szCs w:val="20"/>
        </w:rPr>
        <w:t>Raspolaganja imovinom zbog smrti, osim ugovora o nasljeđivanju</w:t>
      </w:r>
    </w:p>
    <w:p w:rsidR="009442AE" w:rsidRPr="00D22B8E" w:rsidRDefault="009442AE" w:rsidP="009442AE">
      <w:pPr>
        <w:pStyle w:val="normal0"/>
        <w:shd w:val="clear" w:color="auto" w:fill="FFFFFF"/>
        <w:spacing w:before="150" w:beforeAutospacing="0" w:after="0" w:afterAutospacing="0" w:line="312" w:lineRule="atLeast"/>
        <w:jc w:val="both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22B8E">
        <w:rPr>
          <w:rFonts w:asciiTheme="minorHAnsi" w:hAnsiTheme="minorHAnsi"/>
          <w:color w:val="444444"/>
          <w:sz w:val="20"/>
          <w:szCs w:val="20"/>
        </w:rPr>
        <w:t>1.   Raspolaganje imovinom zbog smrti, osim ugovora o nasljeđivanju, uređuje, u pogledu njegove dopustivosti i materijalne valjanosti, pravo koje bi po ovoj Uredbi bilo mjerodavno za nasljeđivanje osobe koja je raspolagala da je ona umrla na dan kada je raspolaganje učinjeno.</w:t>
      </w:r>
    </w:p>
    <w:p w:rsidR="009442AE" w:rsidRPr="00D22B8E" w:rsidRDefault="009442AE" w:rsidP="009442AE">
      <w:pPr>
        <w:pStyle w:val="normal0"/>
        <w:shd w:val="clear" w:color="auto" w:fill="FFFFFF"/>
        <w:spacing w:before="150" w:beforeAutospacing="0" w:after="0" w:afterAutospacing="0" w:line="312" w:lineRule="atLeast"/>
        <w:jc w:val="both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22B8E">
        <w:rPr>
          <w:rFonts w:asciiTheme="minorHAnsi" w:hAnsiTheme="minorHAnsi"/>
          <w:color w:val="444444"/>
          <w:sz w:val="20"/>
          <w:szCs w:val="20"/>
        </w:rPr>
        <w:t>2.   Neovisno o stavku 1., osoba može za pravo koje će urediti njezino raspolaganje imovinom zbog smrti, u pogledu njegove dopustivosti i materijalne valjanosti, izabrati pravo koje je ta osoba mogla izabrati u skladu s člankom 22. pod ondje navedenim uvjetima.</w:t>
      </w:r>
    </w:p>
    <w:p w:rsidR="009442AE" w:rsidRPr="00D22B8E" w:rsidRDefault="009442AE" w:rsidP="009442AE">
      <w:pPr>
        <w:pStyle w:val="normal0"/>
        <w:shd w:val="clear" w:color="auto" w:fill="FFFFFF"/>
        <w:spacing w:before="150" w:beforeAutospacing="0" w:after="0" w:afterAutospacing="0" w:line="312" w:lineRule="atLeast"/>
        <w:jc w:val="both"/>
        <w:textAlignment w:val="baseline"/>
        <w:rPr>
          <w:rFonts w:asciiTheme="minorHAnsi" w:hAnsiTheme="minorHAnsi"/>
          <w:color w:val="444444"/>
          <w:sz w:val="20"/>
          <w:szCs w:val="20"/>
        </w:rPr>
      </w:pPr>
      <w:r w:rsidRPr="00D22B8E">
        <w:rPr>
          <w:rFonts w:asciiTheme="minorHAnsi" w:hAnsiTheme="minorHAnsi"/>
          <w:color w:val="444444"/>
          <w:sz w:val="20"/>
          <w:szCs w:val="20"/>
        </w:rPr>
        <w:t>3.   Stavak 2. se primjenjuje, ako je prikladno, na promjenu ili opoziv raspolaganja imovinom zbog smrti koje nije ugovor o nasljeđivanju. U slučaju izbora prava u skladu sa stavkom 2., promjenu ili opoziv uređuje izabrano pravo.</w:t>
      </w:r>
    </w:p>
    <w:p w:rsidR="009442AE" w:rsidRPr="00D22B8E" w:rsidRDefault="009442AE" w:rsidP="009442AE">
      <w:pPr>
        <w:shd w:val="clear" w:color="auto" w:fill="FFFFFF"/>
        <w:spacing w:before="449" w:after="150" w:line="312" w:lineRule="atLeast"/>
        <w:jc w:val="center"/>
        <w:textAlignment w:val="baseline"/>
        <w:rPr>
          <w:rFonts w:eastAsia="Times New Roman" w:cs="Times New Roman"/>
          <w:i/>
          <w:iCs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i/>
          <w:iCs/>
          <w:color w:val="444444"/>
          <w:sz w:val="20"/>
          <w:szCs w:val="20"/>
          <w:lang w:eastAsia="hr-HR"/>
        </w:rPr>
        <w:t>Članak 34.</w:t>
      </w:r>
    </w:p>
    <w:p w:rsidR="009442AE" w:rsidRPr="00D22B8E" w:rsidRDefault="009442AE" w:rsidP="009442AE">
      <w:pPr>
        <w:shd w:val="clear" w:color="auto" w:fill="FFFFFF"/>
        <w:spacing w:before="75" w:after="150" w:line="312" w:lineRule="atLeast"/>
        <w:jc w:val="center"/>
        <w:textAlignment w:val="baseline"/>
        <w:rPr>
          <w:rFonts w:eastAsia="Times New Roman" w:cs="Times New Roman"/>
          <w:b/>
          <w:bCs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b/>
          <w:bCs/>
          <w:color w:val="444444"/>
          <w:sz w:val="20"/>
          <w:szCs w:val="20"/>
          <w:lang w:eastAsia="hr-HR"/>
        </w:rPr>
        <w:lastRenderedPageBreak/>
        <w:t>Upućivanje na daljnje pravo ili uzvrat</w:t>
      </w:r>
    </w:p>
    <w:p w:rsidR="009442AE" w:rsidRPr="00D22B8E" w:rsidRDefault="009442AE" w:rsidP="009442AE">
      <w:pPr>
        <w:shd w:val="clear" w:color="auto" w:fill="FFFFFF"/>
        <w:spacing w:before="150" w:after="0" w:line="312" w:lineRule="atLeast"/>
        <w:textAlignment w:val="baseline"/>
        <w:rPr>
          <w:rFonts w:eastAsia="Times New Roman" w:cs="Times New Roman"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color w:val="444444"/>
          <w:sz w:val="20"/>
          <w:szCs w:val="20"/>
          <w:lang w:eastAsia="hr-HR"/>
        </w:rPr>
        <w:t>1.   Primjena prava bilo koje treće države određene ovom Uredbom znači primjenu pravnih pravila na snazi u toj državi, uključujući njezina pravila međunarodnog privatnog prava, u toj mjeri u kojoj ta pravila dalje upućuju: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5"/>
        <w:gridCol w:w="7978"/>
      </w:tblGrid>
      <w:tr w:rsidR="009442AE" w:rsidRPr="00D22B8E" w:rsidTr="009442A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7" w:type="dxa"/>
              <w:left w:w="94" w:type="dxa"/>
              <w:bottom w:w="37" w:type="dxa"/>
              <w:right w:w="37" w:type="dxa"/>
            </w:tcMar>
            <w:hideMark/>
          </w:tcPr>
          <w:p w:rsidR="009442AE" w:rsidRPr="00D22B8E" w:rsidRDefault="009442AE" w:rsidP="009442AE">
            <w:pPr>
              <w:spacing w:before="150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(a)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7" w:type="dxa"/>
              <w:left w:w="94" w:type="dxa"/>
              <w:bottom w:w="37" w:type="dxa"/>
              <w:right w:w="37" w:type="dxa"/>
            </w:tcMar>
            <w:hideMark/>
          </w:tcPr>
          <w:p w:rsidR="009442AE" w:rsidRPr="00D22B8E" w:rsidRDefault="009442AE" w:rsidP="009442AE">
            <w:pPr>
              <w:spacing w:before="150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na pravo države članice; ili</w:t>
            </w:r>
          </w:p>
        </w:tc>
      </w:tr>
    </w:tbl>
    <w:p w:rsidR="009442AE" w:rsidRPr="00D22B8E" w:rsidRDefault="009442AE" w:rsidP="009442AE">
      <w:pPr>
        <w:spacing w:after="0" w:line="240" w:lineRule="auto"/>
        <w:jc w:val="left"/>
        <w:rPr>
          <w:rFonts w:eastAsia="Times New Roman" w:cs="Times New Roman"/>
          <w:vanish/>
          <w:sz w:val="20"/>
          <w:szCs w:val="20"/>
          <w:lang w:eastAsia="hr-HR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"/>
        <w:gridCol w:w="8597"/>
      </w:tblGrid>
      <w:tr w:rsidR="009442AE" w:rsidRPr="00D22B8E" w:rsidTr="009442A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7" w:type="dxa"/>
              <w:left w:w="94" w:type="dxa"/>
              <w:bottom w:w="37" w:type="dxa"/>
              <w:right w:w="37" w:type="dxa"/>
            </w:tcMar>
            <w:hideMark/>
          </w:tcPr>
          <w:p w:rsidR="009442AE" w:rsidRPr="00D22B8E" w:rsidRDefault="009442AE" w:rsidP="009442AE">
            <w:pPr>
              <w:spacing w:before="150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(b)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7" w:type="dxa"/>
              <w:left w:w="94" w:type="dxa"/>
              <w:bottom w:w="37" w:type="dxa"/>
              <w:right w:w="37" w:type="dxa"/>
            </w:tcMar>
            <w:hideMark/>
          </w:tcPr>
          <w:p w:rsidR="009442AE" w:rsidRPr="00D22B8E" w:rsidRDefault="009442AE" w:rsidP="009442AE">
            <w:pPr>
              <w:spacing w:before="150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na pravo druge države članice koja bi primijenila svoje pravo.</w:t>
            </w:r>
          </w:p>
        </w:tc>
      </w:tr>
    </w:tbl>
    <w:p w:rsidR="009442AE" w:rsidRPr="00D22B8E" w:rsidRDefault="009442AE" w:rsidP="009442AE">
      <w:pPr>
        <w:shd w:val="clear" w:color="auto" w:fill="FFFFFF"/>
        <w:spacing w:before="150" w:after="0" w:line="312" w:lineRule="atLeast"/>
        <w:textAlignment w:val="baseline"/>
        <w:rPr>
          <w:rFonts w:eastAsia="Times New Roman" w:cs="Times New Roman"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color w:val="444444"/>
          <w:sz w:val="20"/>
          <w:szCs w:val="20"/>
          <w:lang w:eastAsia="hr-HR"/>
        </w:rPr>
        <w:t>2.   Upućivanje na daljnje pravo ili uzvrat ne primjenjuju se u odnosu na prava navedena u članku 21. stavku 2., članku 22., članku 27., članku 28. točki (b) i članku 30.</w:t>
      </w:r>
    </w:p>
    <w:p w:rsidR="009442AE" w:rsidRPr="00D22B8E" w:rsidRDefault="009442AE" w:rsidP="009442AE">
      <w:pPr>
        <w:pStyle w:val="ti-section-1"/>
        <w:shd w:val="clear" w:color="auto" w:fill="FFFFFF"/>
        <w:spacing w:before="598" w:beforeAutospacing="0" w:after="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Fonts w:asciiTheme="minorHAnsi" w:hAnsiTheme="minorHAnsi"/>
          <w:b/>
          <w:bCs/>
          <w:color w:val="444444"/>
          <w:sz w:val="20"/>
          <w:szCs w:val="20"/>
        </w:rPr>
        <w:t>POGLAVLJE VII.</w:t>
      </w:r>
    </w:p>
    <w:p w:rsidR="009442AE" w:rsidRPr="00D22B8E" w:rsidRDefault="009442AE" w:rsidP="009442AE">
      <w:pPr>
        <w:pStyle w:val="ti-section-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/>
          <w:b/>
          <w:bCs/>
          <w:color w:val="444444"/>
          <w:sz w:val="20"/>
          <w:szCs w:val="20"/>
        </w:rPr>
      </w:pPr>
      <w:r w:rsidRPr="00D22B8E">
        <w:rPr>
          <w:rStyle w:val="bold"/>
          <w:rFonts w:asciiTheme="minorHAnsi" w:hAnsiTheme="minorHAnsi"/>
          <w:b/>
          <w:bCs/>
          <w:color w:val="444444"/>
          <w:sz w:val="20"/>
          <w:szCs w:val="20"/>
          <w:bdr w:val="none" w:sz="0" w:space="0" w:color="auto" w:frame="1"/>
        </w:rPr>
        <w:t>OPĆE I ZAVRŠNE ODREDBE</w:t>
      </w:r>
    </w:p>
    <w:p w:rsidR="009442AE" w:rsidRPr="00D22B8E" w:rsidRDefault="009442AE" w:rsidP="009442AE">
      <w:pPr>
        <w:shd w:val="clear" w:color="auto" w:fill="FFFFFF"/>
        <w:spacing w:before="342" w:after="114" w:line="312" w:lineRule="atLeast"/>
        <w:jc w:val="center"/>
        <w:textAlignment w:val="baseline"/>
        <w:rPr>
          <w:rFonts w:eastAsia="Times New Roman" w:cs="Times New Roman"/>
          <w:i/>
          <w:iCs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i/>
          <w:iCs/>
          <w:color w:val="444444"/>
          <w:sz w:val="20"/>
          <w:szCs w:val="20"/>
          <w:lang w:eastAsia="hr-HR"/>
        </w:rPr>
        <w:t>Članak 75.</w:t>
      </w:r>
    </w:p>
    <w:p w:rsidR="009442AE" w:rsidRPr="00D22B8E" w:rsidRDefault="009442AE" w:rsidP="009442AE">
      <w:pPr>
        <w:shd w:val="clear" w:color="auto" w:fill="FFFFFF"/>
        <w:spacing w:before="57" w:after="114" w:line="312" w:lineRule="atLeast"/>
        <w:jc w:val="center"/>
        <w:textAlignment w:val="baseline"/>
        <w:rPr>
          <w:rFonts w:eastAsia="Times New Roman" w:cs="Times New Roman"/>
          <w:b/>
          <w:bCs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b/>
          <w:bCs/>
          <w:color w:val="444444"/>
          <w:sz w:val="20"/>
          <w:szCs w:val="20"/>
          <w:lang w:eastAsia="hr-HR"/>
        </w:rPr>
        <w:t>Odnos s postojećim međunarodnim konvencijama</w:t>
      </w:r>
    </w:p>
    <w:p w:rsidR="009442AE" w:rsidRPr="00D22B8E" w:rsidRDefault="009442AE" w:rsidP="009442AE">
      <w:pPr>
        <w:shd w:val="clear" w:color="auto" w:fill="FFFFFF"/>
        <w:spacing w:before="57" w:after="114" w:line="312" w:lineRule="atLeast"/>
        <w:jc w:val="center"/>
        <w:textAlignment w:val="baseline"/>
        <w:rPr>
          <w:rFonts w:eastAsia="Times New Roman" w:cs="Times New Roman"/>
          <w:b/>
          <w:bCs/>
          <w:color w:val="444444"/>
          <w:sz w:val="20"/>
          <w:szCs w:val="20"/>
          <w:lang w:eastAsia="hr-HR"/>
        </w:rPr>
      </w:pPr>
    </w:p>
    <w:p w:rsidR="009442AE" w:rsidRPr="00D22B8E" w:rsidRDefault="009442AE" w:rsidP="009442AE">
      <w:pPr>
        <w:shd w:val="clear" w:color="auto" w:fill="FFFFFF"/>
        <w:spacing w:before="114" w:after="0" w:line="312" w:lineRule="atLeast"/>
        <w:textAlignment w:val="baseline"/>
        <w:rPr>
          <w:rFonts w:eastAsia="Times New Roman" w:cs="Times New Roman"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color w:val="444444"/>
          <w:sz w:val="20"/>
          <w:szCs w:val="20"/>
          <w:lang w:eastAsia="hr-HR"/>
        </w:rPr>
        <w:t>1.   Ova Uredba ne utječe na primjenu međunarodnih konvencija čije su ugovornice jedna ili više država članica u trenutku donošenja ove Uredbe i koje se odnose na pitanja uređena ovom Uredbom.</w:t>
      </w:r>
    </w:p>
    <w:p w:rsidR="009442AE" w:rsidRPr="00D22B8E" w:rsidRDefault="009442AE" w:rsidP="009442AE">
      <w:pPr>
        <w:shd w:val="clear" w:color="auto" w:fill="FFFFFF"/>
        <w:spacing w:before="114" w:after="0" w:line="312" w:lineRule="atLeast"/>
        <w:textAlignment w:val="baseline"/>
        <w:rPr>
          <w:rFonts w:eastAsia="Times New Roman" w:cs="Times New Roman"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color w:val="444444"/>
          <w:sz w:val="20"/>
          <w:szCs w:val="20"/>
          <w:lang w:eastAsia="hr-HR"/>
        </w:rPr>
        <w:t>Posebno, države članice koje su ugovorne stranke Haške konvencije od 5. listopada 1961. o sukobu zakona u pogledu oblika oporučnih raspolaganja nastavljaju primjenjivati odredbe te Konvencije umjesto članka 27. ove Uredbe u pogledu formalne valjanosti oporuka i zajedničkih oporuka.</w:t>
      </w:r>
    </w:p>
    <w:p w:rsidR="009442AE" w:rsidRPr="00D22B8E" w:rsidRDefault="009442AE" w:rsidP="009442AE">
      <w:pPr>
        <w:shd w:val="clear" w:color="auto" w:fill="FFFFFF"/>
        <w:spacing w:before="114" w:after="0" w:line="312" w:lineRule="atLeast"/>
        <w:textAlignment w:val="baseline"/>
        <w:rPr>
          <w:rFonts w:eastAsia="Times New Roman" w:cs="Times New Roman"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color w:val="444444"/>
          <w:sz w:val="20"/>
          <w:szCs w:val="20"/>
          <w:lang w:eastAsia="hr-HR"/>
        </w:rPr>
        <w:t>2.   Neovisno o stavku 1., ova Uredba ima prednost između država članica u odnosu na konvencije sklopljene isključivo između dviju ili više njih u tom opsegu u kojem se te konvencije odnose na pitanja uređena ovom Uredbom.</w:t>
      </w:r>
    </w:p>
    <w:p w:rsidR="009442AE" w:rsidRPr="00D22B8E" w:rsidRDefault="009442AE" w:rsidP="009442AE">
      <w:pPr>
        <w:shd w:val="clear" w:color="auto" w:fill="FFFFFF"/>
        <w:spacing w:before="114" w:after="0" w:line="312" w:lineRule="atLeast"/>
        <w:textAlignment w:val="baseline"/>
        <w:rPr>
          <w:rFonts w:eastAsia="Times New Roman" w:cs="Times New Roman"/>
          <w:color w:val="444444"/>
          <w:sz w:val="20"/>
          <w:szCs w:val="20"/>
          <w:lang w:eastAsia="hr-HR"/>
        </w:rPr>
      </w:pPr>
      <w:r w:rsidRPr="00D22B8E">
        <w:rPr>
          <w:rFonts w:eastAsia="Times New Roman" w:cs="Times New Roman"/>
          <w:color w:val="444444"/>
          <w:sz w:val="20"/>
          <w:szCs w:val="20"/>
          <w:lang w:eastAsia="hr-HR"/>
        </w:rPr>
        <w:t>3.   Ova Uredba ne sprečava primjenu Konvencije od 19. studenoga 1934. između Danske, Finske, Islanda, Norveške i Švedske koja sadrži odredbe međunarodnog privatnog prava o nasljeđivanju, oporukama i upravljanju imovinom, kako je revidirana međuvladinim sporazumom između tih država od 1. lipnja 2012., na države članice koje su joj stranke, u mjeri u kojoj predviđa: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"/>
        <w:gridCol w:w="8854"/>
      </w:tblGrid>
      <w:tr w:rsidR="009442AE" w:rsidRPr="00D22B8E" w:rsidTr="009442A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9" w:type="dxa"/>
              <w:left w:w="71" w:type="dxa"/>
              <w:bottom w:w="29" w:type="dxa"/>
              <w:right w:w="29" w:type="dxa"/>
            </w:tcMar>
            <w:hideMark/>
          </w:tcPr>
          <w:p w:rsidR="009442AE" w:rsidRPr="00D22B8E" w:rsidRDefault="009442AE" w:rsidP="009442AE">
            <w:pPr>
              <w:spacing w:before="114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(a)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9" w:type="dxa"/>
              <w:left w:w="71" w:type="dxa"/>
              <w:bottom w:w="29" w:type="dxa"/>
              <w:right w:w="29" w:type="dxa"/>
            </w:tcMar>
            <w:hideMark/>
          </w:tcPr>
          <w:p w:rsidR="009442AE" w:rsidRPr="00D22B8E" w:rsidRDefault="009442AE" w:rsidP="009442AE">
            <w:pPr>
              <w:spacing w:before="114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pravila o postupovnim aspektima upravljanja imovinom kako je definirano Konvencijom i u tom smislu pomoć tijela država ugovornih stranaka Konvencije; i</w:t>
            </w:r>
          </w:p>
        </w:tc>
      </w:tr>
    </w:tbl>
    <w:p w:rsidR="009442AE" w:rsidRPr="00D22B8E" w:rsidRDefault="009442AE" w:rsidP="009442AE">
      <w:pPr>
        <w:spacing w:after="0" w:line="240" w:lineRule="auto"/>
        <w:jc w:val="left"/>
        <w:rPr>
          <w:rFonts w:eastAsia="Times New Roman" w:cs="Times New Roman"/>
          <w:vanish/>
          <w:sz w:val="20"/>
          <w:szCs w:val="20"/>
          <w:lang w:eastAsia="hr-HR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8782"/>
      </w:tblGrid>
      <w:tr w:rsidR="009442AE" w:rsidRPr="00D22B8E" w:rsidTr="009442A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9" w:type="dxa"/>
              <w:left w:w="71" w:type="dxa"/>
              <w:bottom w:w="29" w:type="dxa"/>
              <w:right w:w="29" w:type="dxa"/>
            </w:tcMar>
            <w:hideMark/>
          </w:tcPr>
          <w:p w:rsidR="009442AE" w:rsidRPr="00D22B8E" w:rsidRDefault="009442AE" w:rsidP="009442AE">
            <w:pPr>
              <w:spacing w:before="114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(b)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9" w:type="dxa"/>
              <w:left w:w="71" w:type="dxa"/>
              <w:bottom w:w="29" w:type="dxa"/>
              <w:right w:w="29" w:type="dxa"/>
            </w:tcMar>
            <w:hideMark/>
          </w:tcPr>
          <w:p w:rsidR="009442AE" w:rsidRPr="00D22B8E" w:rsidRDefault="009442AE" w:rsidP="009442AE">
            <w:pPr>
              <w:spacing w:before="114" w:after="0" w:line="312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</w:pPr>
            <w:r w:rsidRPr="00D22B8E">
              <w:rPr>
                <w:rFonts w:eastAsia="Times New Roman" w:cs="Times New Roman"/>
                <w:color w:val="444444"/>
                <w:sz w:val="20"/>
                <w:szCs w:val="20"/>
                <w:lang w:eastAsia="hr-HR"/>
              </w:rPr>
              <w:t>pojednostavljene i brže postupke za priznavanje i izvršivost odluka u nasljednim stvarima.</w:t>
            </w:r>
          </w:p>
        </w:tc>
      </w:tr>
    </w:tbl>
    <w:p w:rsidR="009442AE" w:rsidRPr="00D22B8E" w:rsidRDefault="009442AE" w:rsidP="009442AE">
      <w:pPr>
        <w:spacing w:after="0"/>
        <w:jc w:val="center"/>
        <w:rPr>
          <w:b/>
          <w:sz w:val="20"/>
          <w:szCs w:val="20"/>
        </w:rPr>
      </w:pPr>
    </w:p>
    <w:p w:rsidR="009442AE" w:rsidRPr="00D22B8E" w:rsidRDefault="009442AE">
      <w:pPr>
        <w:rPr>
          <w:b/>
          <w:sz w:val="20"/>
          <w:szCs w:val="20"/>
        </w:rPr>
      </w:pPr>
      <w:r w:rsidRPr="00D22B8E">
        <w:rPr>
          <w:b/>
          <w:sz w:val="20"/>
          <w:szCs w:val="20"/>
        </w:rPr>
        <w:br w:type="page"/>
      </w:r>
    </w:p>
    <w:p w:rsidR="009442AE" w:rsidRPr="00D22B8E" w:rsidRDefault="009442AE" w:rsidP="009442AE">
      <w:pPr>
        <w:spacing w:after="0"/>
        <w:jc w:val="center"/>
        <w:rPr>
          <w:b/>
          <w:sz w:val="20"/>
          <w:szCs w:val="20"/>
        </w:rPr>
      </w:pPr>
      <w:r w:rsidRPr="00D22B8E">
        <w:rPr>
          <w:b/>
          <w:sz w:val="20"/>
          <w:szCs w:val="20"/>
        </w:rPr>
        <w:lastRenderedPageBreak/>
        <w:t xml:space="preserve">Konvencija o pravu mjerodavnom </w:t>
      </w:r>
    </w:p>
    <w:p w:rsidR="009442AE" w:rsidRPr="00D22B8E" w:rsidRDefault="009442AE" w:rsidP="009442AE">
      <w:pPr>
        <w:spacing w:after="0"/>
        <w:jc w:val="center"/>
        <w:rPr>
          <w:b/>
          <w:sz w:val="20"/>
          <w:szCs w:val="20"/>
        </w:rPr>
      </w:pPr>
      <w:r w:rsidRPr="00D22B8E">
        <w:rPr>
          <w:b/>
          <w:sz w:val="20"/>
          <w:szCs w:val="20"/>
        </w:rPr>
        <w:t>za oblik oporučnih raspolaganja</w:t>
      </w:r>
    </w:p>
    <w:p w:rsidR="009442AE" w:rsidRPr="00D22B8E" w:rsidRDefault="009442AE" w:rsidP="009442AE">
      <w:pPr>
        <w:spacing w:after="0"/>
        <w:jc w:val="center"/>
        <w:rPr>
          <w:b/>
          <w:sz w:val="20"/>
          <w:szCs w:val="20"/>
        </w:rPr>
      </w:pPr>
    </w:p>
    <w:p w:rsidR="009442AE" w:rsidRPr="00D22B8E" w:rsidRDefault="009442AE" w:rsidP="009442AE">
      <w:pPr>
        <w:spacing w:after="0"/>
        <w:jc w:val="center"/>
        <w:rPr>
          <w:b/>
          <w:sz w:val="20"/>
          <w:szCs w:val="20"/>
        </w:rPr>
      </w:pPr>
      <w:r w:rsidRPr="00D22B8E">
        <w:rPr>
          <w:b/>
          <w:sz w:val="20"/>
          <w:szCs w:val="20"/>
        </w:rPr>
        <w:t>(Den Haag, 5. listopada 1961.)</w:t>
      </w:r>
    </w:p>
    <w:p w:rsidR="009442AE" w:rsidRPr="00D22B8E" w:rsidRDefault="009442AE" w:rsidP="009442AE">
      <w:pPr>
        <w:spacing w:after="0"/>
        <w:rPr>
          <w:sz w:val="20"/>
          <w:szCs w:val="20"/>
        </w:rPr>
      </w:pPr>
    </w:p>
    <w:p w:rsidR="009442AE" w:rsidRPr="00D22B8E" w:rsidRDefault="009442AE" w:rsidP="009442AE">
      <w:pPr>
        <w:spacing w:after="0"/>
        <w:jc w:val="center"/>
        <w:rPr>
          <w:sz w:val="20"/>
          <w:szCs w:val="20"/>
        </w:rPr>
      </w:pPr>
      <w:r w:rsidRPr="00D22B8E">
        <w:rPr>
          <w:sz w:val="20"/>
          <w:szCs w:val="20"/>
        </w:rPr>
        <w:t>Članak 1.</w:t>
      </w:r>
    </w:p>
    <w:p w:rsidR="009442AE" w:rsidRPr="00D22B8E" w:rsidRDefault="009442AE" w:rsidP="009442AE">
      <w:pPr>
        <w:spacing w:after="0"/>
        <w:jc w:val="center"/>
        <w:rPr>
          <w:sz w:val="20"/>
          <w:szCs w:val="20"/>
        </w:rPr>
      </w:pPr>
    </w:p>
    <w:p w:rsidR="009442AE" w:rsidRPr="00D22B8E" w:rsidRDefault="009442AE" w:rsidP="009442AE">
      <w:pPr>
        <w:spacing w:after="0"/>
        <w:rPr>
          <w:sz w:val="20"/>
          <w:szCs w:val="20"/>
        </w:rPr>
      </w:pPr>
      <w:r w:rsidRPr="00D22B8E">
        <w:rPr>
          <w:sz w:val="20"/>
          <w:szCs w:val="20"/>
        </w:rPr>
        <w:tab/>
        <w:t>Oporučno raspolaganje važi u pogledu oblika ako on odgovara unutrašnjem pravu:</w:t>
      </w:r>
    </w:p>
    <w:p w:rsidR="009442AE" w:rsidRPr="00D22B8E" w:rsidRDefault="009442AE" w:rsidP="009442AE">
      <w:pPr>
        <w:spacing w:after="0"/>
        <w:rPr>
          <w:sz w:val="20"/>
          <w:szCs w:val="20"/>
        </w:rPr>
      </w:pPr>
    </w:p>
    <w:p w:rsidR="009442AE" w:rsidRPr="00D22B8E" w:rsidRDefault="009442AE" w:rsidP="009442A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D22B8E">
        <w:rPr>
          <w:rFonts w:asciiTheme="minorHAnsi" w:hAnsiTheme="minorHAnsi"/>
          <w:sz w:val="20"/>
          <w:szCs w:val="20"/>
        </w:rPr>
        <w:t>mjesta gdje je oporučitelj raspolagao, ili</w:t>
      </w:r>
    </w:p>
    <w:p w:rsidR="009442AE" w:rsidRPr="00D22B8E" w:rsidRDefault="009442AE" w:rsidP="009442A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D22B8E">
        <w:rPr>
          <w:rFonts w:asciiTheme="minorHAnsi" w:hAnsiTheme="minorHAnsi"/>
          <w:sz w:val="20"/>
          <w:szCs w:val="20"/>
        </w:rPr>
        <w:t>državljanstva koje je oporučitelj imao bilo u trenutku kad je izvršio raspolaganje bilo u trenutku smrti, ili</w:t>
      </w:r>
    </w:p>
    <w:p w:rsidR="009442AE" w:rsidRPr="00D22B8E" w:rsidRDefault="009442AE" w:rsidP="009442A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D22B8E">
        <w:rPr>
          <w:rFonts w:asciiTheme="minorHAnsi" w:hAnsiTheme="minorHAnsi"/>
          <w:sz w:val="20"/>
          <w:szCs w:val="20"/>
        </w:rPr>
        <w:t>mjesta u kome je oporučitelj imao svoje prebivalište bilo u trenutku kad je raspolagao bilo u trenutku smrti, ili</w:t>
      </w:r>
    </w:p>
    <w:p w:rsidR="009442AE" w:rsidRPr="00D22B8E" w:rsidRDefault="009442AE" w:rsidP="009442A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D22B8E">
        <w:rPr>
          <w:rFonts w:asciiTheme="minorHAnsi" w:hAnsiTheme="minorHAnsi"/>
          <w:sz w:val="20"/>
          <w:szCs w:val="20"/>
        </w:rPr>
        <w:t>mjesta u kome je oporučitelj imao svoje uobičajeno boravište bilo u trenutku kada je raspolagao bilo u trenutku smrti, ili</w:t>
      </w:r>
    </w:p>
    <w:p w:rsidR="009442AE" w:rsidRPr="00D22B8E" w:rsidRDefault="009442AE" w:rsidP="009442A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D22B8E">
        <w:rPr>
          <w:rFonts w:asciiTheme="minorHAnsi" w:hAnsiTheme="minorHAnsi"/>
          <w:sz w:val="20"/>
          <w:szCs w:val="20"/>
        </w:rPr>
        <w:t>za nekretnine, mjesta gdje se one nalaze.</w:t>
      </w:r>
    </w:p>
    <w:p w:rsidR="009442AE" w:rsidRPr="00D22B8E" w:rsidRDefault="009442AE" w:rsidP="009442AE">
      <w:pPr>
        <w:spacing w:after="0"/>
        <w:rPr>
          <w:sz w:val="20"/>
          <w:szCs w:val="20"/>
        </w:rPr>
      </w:pPr>
    </w:p>
    <w:p w:rsidR="009442AE" w:rsidRPr="00D22B8E" w:rsidRDefault="009442AE" w:rsidP="00F75A32">
      <w:pPr>
        <w:pStyle w:val="doc-ti"/>
        <w:shd w:val="clear" w:color="auto" w:fill="FFFFFF"/>
        <w:spacing w:before="299" w:after="150" w:line="312" w:lineRule="atLeast"/>
        <w:jc w:val="both"/>
        <w:textAlignment w:val="baseline"/>
        <w:rPr>
          <w:rFonts w:asciiTheme="minorHAnsi" w:hAnsiTheme="minorHAnsi"/>
          <w:bCs/>
          <w:color w:val="444444"/>
          <w:sz w:val="20"/>
          <w:szCs w:val="20"/>
        </w:rPr>
      </w:pPr>
    </w:p>
    <w:sectPr w:rsidR="009442AE" w:rsidRPr="00D22B8E" w:rsidSect="00AB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F0" w:rsidRDefault="004014F0" w:rsidP="009442AE">
      <w:pPr>
        <w:spacing w:after="0" w:line="240" w:lineRule="auto"/>
      </w:pPr>
      <w:r>
        <w:separator/>
      </w:r>
    </w:p>
  </w:endnote>
  <w:endnote w:type="continuationSeparator" w:id="0">
    <w:p w:rsidR="004014F0" w:rsidRDefault="004014F0" w:rsidP="0094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F0" w:rsidRDefault="004014F0" w:rsidP="009442AE">
      <w:pPr>
        <w:spacing w:after="0" w:line="240" w:lineRule="auto"/>
      </w:pPr>
      <w:r>
        <w:separator/>
      </w:r>
    </w:p>
  </w:footnote>
  <w:footnote w:type="continuationSeparator" w:id="0">
    <w:p w:rsidR="004014F0" w:rsidRDefault="004014F0" w:rsidP="0094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FFB"/>
    <w:multiLevelType w:val="hybridMultilevel"/>
    <w:tmpl w:val="E2A6B9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A32"/>
    <w:rsid w:val="00042BA7"/>
    <w:rsid w:val="001E6C8C"/>
    <w:rsid w:val="00347FA2"/>
    <w:rsid w:val="004014F0"/>
    <w:rsid w:val="005944C6"/>
    <w:rsid w:val="005F3391"/>
    <w:rsid w:val="007E1066"/>
    <w:rsid w:val="009442AE"/>
    <w:rsid w:val="00AB13BA"/>
    <w:rsid w:val="00C16804"/>
    <w:rsid w:val="00C529D8"/>
    <w:rsid w:val="00D22B8E"/>
    <w:rsid w:val="00E4018C"/>
    <w:rsid w:val="00EB0DF6"/>
    <w:rsid w:val="00ED0945"/>
    <w:rsid w:val="00F7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F75A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0">
    <w:name w:val="normal"/>
    <w:basedOn w:val="Normal"/>
    <w:rsid w:val="00F75A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-section-1">
    <w:name w:val="ti-section-1"/>
    <w:basedOn w:val="Normal"/>
    <w:rsid w:val="009442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-section-2">
    <w:name w:val="ti-section-2"/>
    <w:basedOn w:val="Normal"/>
    <w:rsid w:val="009442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442AE"/>
  </w:style>
  <w:style w:type="paragraph" w:customStyle="1" w:styleId="ti-art">
    <w:name w:val="ti-art"/>
    <w:basedOn w:val="Normal"/>
    <w:rsid w:val="009442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-art">
    <w:name w:val="sti-art"/>
    <w:basedOn w:val="Normal"/>
    <w:rsid w:val="009442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442AE"/>
    <w:pPr>
      <w:spacing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2AE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2A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42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5</cp:revision>
  <dcterms:created xsi:type="dcterms:W3CDTF">2016-05-17T07:26:00Z</dcterms:created>
  <dcterms:modified xsi:type="dcterms:W3CDTF">2016-05-17T08:03:00Z</dcterms:modified>
</cp:coreProperties>
</file>