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F5" w:rsidRPr="008C78FC" w:rsidRDefault="003E64E4">
      <w:pPr>
        <w:rPr>
          <w:lang w:val="hr-HR"/>
        </w:rPr>
      </w:pPr>
      <w:r w:rsidRPr="008C78FC">
        <w:rPr>
          <w:noProof/>
          <w:lang w:val="hr-HR" w:eastAsia="hr-HR"/>
        </w:rPr>
        <mc:AlternateContent>
          <mc:Choice Requires="wps">
            <w:drawing>
              <wp:anchor distT="0" distB="0" distL="114300" distR="114300" simplePos="0" relativeHeight="251659264" behindDoc="0" locked="0" layoutInCell="1" allowOverlap="1" wp14:anchorId="0CA35816" wp14:editId="7176EC87">
                <wp:simplePos x="0" y="0"/>
                <wp:positionH relativeFrom="column">
                  <wp:posOffset>1414780</wp:posOffset>
                </wp:positionH>
                <wp:positionV relativeFrom="paragraph">
                  <wp:posOffset>-280670</wp:posOffset>
                </wp:positionV>
                <wp:extent cx="2753360" cy="629920"/>
                <wp:effectExtent l="0" t="0" r="27940" b="1778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3360" cy="629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549E" w:rsidRPr="003D3CB6" w:rsidRDefault="0052549E" w:rsidP="003D3CB6">
                            <w:pPr>
                              <w:jc w:val="center"/>
                              <w:rPr>
                                <w:lang w:val="hr-HR"/>
                              </w:rPr>
                            </w:pPr>
                            <w:r w:rsidRPr="003D3CB6">
                              <w:rPr>
                                <w:lang w:val="hr-HR"/>
                              </w:rPr>
                              <w:t>Sveučilište u Zagrebu</w:t>
                            </w:r>
                          </w:p>
                          <w:p w:rsidR="0052549E" w:rsidRPr="003D3CB6" w:rsidRDefault="0052549E" w:rsidP="003D3CB6">
                            <w:pPr>
                              <w:jc w:val="center"/>
                              <w:rPr>
                                <w:lang w:val="hr-HR"/>
                              </w:rPr>
                            </w:pPr>
                            <w:r w:rsidRPr="003D3CB6">
                              <w:rPr>
                                <w:lang w:val="hr-HR"/>
                              </w:rPr>
                              <w:t>Pravni fakultet</w:t>
                            </w:r>
                          </w:p>
                          <w:p w:rsidR="0052549E" w:rsidRPr="003D3CB6" w:rsidRDefault="0052549E" w:rsidP="003D3CB6">
                            <w:pPr>
                              <w:jc w:val="center"/>
                              <w:rPr>
                                <w:rFonts w:asciiTheme="minorHAnsi" w:hAnsiTheme="minorHAnsi"/>
                                <w:lang w:val="hr-HR"/>
                              </w:rPr>
                            </w:pPr>
                            <w:proofErr w:type="spellStart"/>
                            <w:r w:rsidRPr="003D3CB6">
                              <w:rPr>
                                <w:lang w:val="hr-HR"/>
                              </w:rPr>
                              <w:t>JeanMonet</w:t>
                            </w:r>
                            <w:proofErr w:type="spellEnd"/>
                            <w:r w:rsidRPr="003D3CB6">
                              <w:rPr>
                                <w:lang w:val="hr-HR"/>
                              </w:rPr>
                              <w:t xml:space="preserve"> katedra za europsko javno</w:t>
                            </w:r>
                            <w:r>
                              <w:rPr>
                                <w:rFonts w:asciiTheme="minorHAnsi" w:hAnsiTheme="minorHAnsi"/>
                                <w:lang w:val="hr-HR"/>
                              </w:rPr>
                              <w:t xml:space="preserve"> pravo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left:0;text-align:left;margin-left:111.4pt;margin-top:-22.1pt;width:216.8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" fillcolor="white [3201]" strokeweight=".5pt">
                <v:path arrowok="t"/>
                <v:textbox>
                  <w:txbxContent>
                    <w:p w:rsidR="0052549E" w:rsidRPr="003D3CB6" w:rsidRDefault="0052549E" w:rsidP="003D3CB6">
                      <w:pPr>
                        <w:jc w:val="center"/>
                        <w:rPr>
                          <w:lang w:val="hr-HR"/>
                        </w:rPr>
                      </w:pPr>
                      <w:r w:rsidRPr="003D3CB6">
                        <w:rPr>
                          <w:lang w:val="hr-HR"/>
                        </w:rPr>
                        <w:t>Sveučilište u Zagrebu</w:t>
                      </w:r>
                    </w:p>
                    <w:p w:rsidR="0052549E" w:rsidRPr="003D3CB6" w:rsidRDefault="0052549E" w:rsidP="003D3CB6">
                      <w:pPr>
                        <w:jc w:val="center"/>
                        <w:rPr>
                          <w:lang w:val="hr-HR"/>
                        </w:rPr>
                      </w:pPr>
                      <w:r w:rsidRPr="003D3CB6">
                        <w:rPr>
                          <w:lang w:val="hr-HR"/>
                        </w:rPr>
                        <w:t>Pravni fakultet</w:t>
                      </w:r>
                    </w:p>
                    <w:p w:rsidR="0052549E" w:rsidRPr="003D3CB6" w:rsidRDefault="0052549E" w:rsidP="003D3CB6">
                      <w:pPr>
                        <w:jc w:val="center"/>
                        <w:rPr>
                          <w:rFonts w:asciiTheme="minorHAnsi" w:hAnsiTheme="minorHAnsi"/>
                          <w:lang w:val="hr-HR"/>
                        </w:rPr>
                      </w:pPr>
                      <w:proofErr w:type="spellStart"/>
                      <w:r w:rsidRPr="003D3CB6">
                        <w:rPr>
                          <w:lang w:val="hr-HR"/>
                        </w:rPr>
                        <w:t>JeanMonet</w:t>
                      </w:r>
                      <w:proofErr w:type="spellEnd"/>
                      <w:r w:rsidRPr="003D3CB6">
                        <w:rPr>
                          <w:lang w:val="hr-HR"/>
                        </w:rPr>
                        <w:t xml:space="preserve"> katedra za europsko javno</w:t>
                      </w:r>
                      <w:r>
                        <w:rPr>
                          <w:rFonts w:asciiTheme="minorHAnsi" w:hAnsiTheme="minorHAnsi"/>
                          <w:lang w:val="hr-HR"/>
                        </w:rPr>
                        <w:t xml:space="preserve"> pravo</w:t>
                      </w:r>
                    </w:p>
                  </w:txbxContent>
                </v:textbox>
              </v:shape>
            </w:pict>
          </mc:Fallback>
        </mc:AlternateContent>
      </w:r>
    </w:p>
    <w:sdt>
      <w:sdtPr>
        <w:rPr>
          <w:rFonts w:ascii="Times New Roman" w:eastAsiaTheme="majorEastAsia" w:hAnsi="Times New Roman" w:cs="Times New Roman"/>
          <w:sz w:val="80"/>
          <w:szCs w:val="80"/>
          <w:lang w:val="en-GB" w:eastAsia="en-US"/>
        </w:rPr>
        <w:id w:val="-385882172"/>
        <w:docPartObj>
          <w:docPartGallery w:val="Cover Pages"/>
          <w:docPartUnique/>
        </w:docPartObj>
      </w:sdtPr>
      <w:sdtEndPr>
        <w:rPr>
          <w:rFonts w:eastAsia="Times New Roman"/>
          <w:b/>
          <w:bCs/>
          <w:sz w:val="24"/>
          <w:szCs w:val="24"/>
        </w:rPr>
      </w:sdtEndPr>
      <w:sdtContent>
        <w:tbl>
          <w:tblPr>
            <w:tblpPr w:leftFromText="180" w:rightFromText="180" w:vertAnchor="page" w:horzAnchor="margin" w:tblpY="3466"/>
            <w:tblW w:w="5000" w:type="pct"/>
            <w:tblLook w:val="04A0" w:firstRow="1" w:lastRow="0" w:firstColumn="1" w:lastColumn="0" w:noHBand="0" w:noVBand="1"/>
          </w:tblPr>
          <w:tblGrid>
            <w:gridCol w:w="9288"/>
          </w:tblGrid>
          <w:tr w:rsidR="009630F5" w:rsidRPr="0052549E" w:rsidTr="003D3CB6">
            <w:trPr>
              <w:trHeight w:val="1440"/>
            </w:trPr>
            <w:sdt>
              <w:sdtPr>
                <w:rPr>
                  <w:rFonts w:ascii="Times New Roman" w:eastAsiaTheme="majorEastAsia" w:hAnsi="Times New Roman" w:cs="Times New Roman"/>
                  <w:sz w:val="80"/>
                  <w:szCs w:val="80"/>
                  <w:lang w:val="en-GB" w:eastAsia="en-US"/>
                </w:rPr>
                <w:alias w:val="Naslov"/>
                <w:id w:val="15524250"/>
                <w:dataBinding w:prefixMappings="xmlns:ns0='http://schemas.openxmlformats.org/package/2006/metadata/core-properties' xmlns:ns1='http://purl.org/dc/elements/1.1/'" w:xpath="/ns0:coreProperties[1]/ns1:title[1]" w:storeItemID="{6C3C8BC8-F283-45AE-878A-BAB7291924A1}"/>
                <w:text/>
              </w:sdtPr>
              <w:sdtEndPr>
                <w:rPr>
                  <w:lang w:val="hr-HR" w:eastAsia="hr-HR"/>
                </w:rPr>
              </w:sdtEndPr>
              <w:sdtContent>
                <w:tc>
                  <w:tcPr>
                    <w:tcW w:w="5000" w:type="pct"/>
                    <w:tcBorders>
                      <w:bottom w:val="single" w:sz="4" w:space="0" w:color="4F81BD" w:themeColor="accent1"/>
                    </w:tcBorders>
                    <w:vAlign w:val="center"/>
                  </w:tcPr>
                  <w:p w:rsidR="009630F5" w:rsidRPr="008C78FC" w:rsidRDefault="0081680C" w:rsidP="003D3CB6">
                    <w:pPr>
                      <w:pStyle w:val="Bezproreda"/>
                      <w:jc w:val="center"/>
                      <w:rPr>
                        <w:rFonts w:ascii="Times New Roman" w:eastAsiaTheme="majorEastAsia" w:hAnsi="Times New Roman" w:cs="Times New Roman"/>
                        <w:sz w:val="80"/>
                        <w:szCs w:val="80"/>
                      </w:rPr>
                    </w:pPr>
                    <w:r w:rsidRPr="008C78FC">
                      <w:rPr>
                        <w:rFonts w:ascii="Times New Roman" w:eastAsiaTheme="majorEastAsia" w:hAnsi="Times New Roman" w:cs="Times New Roman"/>
                        <w:sz w:val="80"/>
                        <w:szCs w:val="80"/>
                        <w:lang w:eastAsia="en-US"/>
                      </w:rPr>
                      <w:t>Ograničenje tržišnog natjecanja u europskom pravu</w:t>
                    </w:r>
                  </w:p>
                </w:tc>
              </w:sdtContent>
            </w:sdt>
          </w:tr>
          <w:tr w:rsidR="009630F5" w:rsidRPr="008C78FC" w:rsidTr="003D3CB6">
            <w:trPr>
              <w:trHeight w:val="720"/>
            </w:trPr>
            <w:sdt>
              <w:sdtPr>
                <w:rPr>
                  <w:rFonts w:ascii="Times New Roman" w:eastAsiaTheme="majorEastAsia" w:hAnsi="Times New Roman" w:cs="Times New Roman"/>
                  <w:sz w:val="44"/>
                  <w:szCs w:val="44"/>
                </w:rPr>
                <w:alias w:val="Podnaslov"/>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630F5" w:rsidRPr="008C78FC" w:rsidRDefault="00382B85" w:rsidP="003D3CB6">
                    <w:pPr>
                      <w:pStyle w:val="Bezproreda"/>
                      <w:jc w:val="center"/>
                      <w:rPr>
                        <w:rFonts w:ascii="Times New Roman" w:eastAsiaTheme="majorEastAsia" w:hAnsi="Times New Roman" w:cs="Times New Roman"/>
                        <w:sz w:val="44"/>
                        <w:szCs w:val="44"/>
                      </w:rPr>
                    </w:pPr>
                    <w:r w:rsidRPr="008C78FC">
                      <w:rPr>
                        <w:rFonts w:ascii="Times New Roman" w:eastAsiaTheme="majorEastAsia" w:hAnsi="Times New Roman" w:cs="Times New Roman"/>
                        <w:sz w:val="44"/>
                        <w:szCs w:val="44"/>
                      </w:rPr>
                      <w:t xml:space="preserve">     </w:t>
                    </w:r>
                  </w:p>
                </w:tc>
              </w:sdtContent>
            </w:sdt>
          </w:tr>
          <w:tr w:rsidR="009630F5" w:rsidRPr="008C78FC" w:rsidTr="003D3CB6">
            <w:trPr>
              <w:trHeight w:val="360"/>
            </w:trPr>
            <w:tc>
              <w:tcPr>
                <w:tcW w:w="5000" w:type="pct"/>
                <w:vAlign w:val="center"/>
              </w:tcPr>
              <w:p w:rsidR="009630F5" w:rsidRPr="008C78FC" w:rsidRDefault="009630F5" w:rsidP="003D3CB6">
                <w:pPr>
                  <w:pStyle w:val="Bezproreda"/>
                  <w:jc w:val="center"/>
                  <w:rPr>
                    <w:rFonts w:ascii="Times New Roman" w:hAnsi="Times New Roman" w:cs="Times New Roman"/>
                  </w:rPr>
                </w:pPr>
              </w:p>
            </w:tc>
          </w:tr>
          <w:tr w:rsidR="009630F5" w:rsidRPr="008C78FC" w:rsidTr="003D3CB6">
            <w:trPr>
              <w:trHeight w:val="360"/>
            </w:trPr>
            <w:sdt>
              <w:sdtPr>
                <w:rPr>
                  <w:rFonts w:ascii="Times New Roman" w:hAnsi="Times New Roman" w:cs="Times New Roman"/>
                  <w:b/>
                  <w:bCs/>
                  <w:sz w:val="32"/>
                  <w:szCs w:val="32"/>
                </w:rPr>
                <w:alias w:val="Aut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9630F5" w:rsidRPr="008C78FC" w:rsidRDefault="0081680C" w:rsidP="003D3CB6">
                    <w:pPr>
                      <w:pStyle w:val="Bezproreda"/>
                      <w:jc w:val="center"/>
                      <w:rPr>
                        <w:rFonts w:ascii="Times New Roman" w:hAnsi="Times New Roman" w:cs="Times New Roman"/>
                        <w:b/>
                        <w:bCs/>
                        <w:sz w:val="32"/>
                        <w:szCs w:val="32"/>
                      </w:rPr>
                    </w:pPr>
                    <w:r w:rsidRPr="008C78FC">
                      <w:rPr>
                        <w:rFonts w:ascii="Times New Roman" w:hAnsi="Times New Roman" w:cs="Times New Roman"/>
                        <w:b/>
                        <w:bCs/>
                        <w:sz w:val="32"/>
                        <w:szCs w:val="32"/>
                      </w:rPr>
                      <w:t>Diplomski rad</w:t>
                    </w:r>
                  </w:p>
                </w:tc>
              </w:sdtContent>
            </w:sdt>
          </w:tr>
          <w:tr w:rsidR="009630F5" w:rsidRPr="008C78FC" w:rsidTr="003D3CB6">
            <w:trPr>
              <w:trHeight w:val="360"/>
            </w:trPr>
            <w:tc>
              <w:tcPr>
                <w:tcW w:w="5000" w:type="pct"/>
                <w:vAlign w:val="center"/>
              </w:tcPr>
              <w:p w:rsidR="009630F5" w:rsidRPr="008C78FC" w:rsidRDefault="009630F5" w:rsidP="003D3CB6">
                <w:pPr>
                  <w:pStyle w:val="Bezproreda"/>
                  <w:jc w:val="center"/>
                  <w:rPr>
                    <w:rFonts w:ascii="Times New Roman" w:hAnsi="Times New Roman" w:cs="Times New Roman"/>
                    <w:b/>
                    <w:bCs/>
                  </w:rPr>
                </w:pPr>
              </w:p>
            </w:tc>
          </w:tr>
        </w:tbl>
        <w:p w:rsidR="009630F5" w:rsidRPr="008C78FC" w:rsidRDefault="009630F5">
          <w:pPr>
            <w:rPr>
              <w:lang w:val="hr-HR"/>
            </w:rPr>
          </w:pPr>
        </w:p>
        <w:p w:rsidR="009630F5" w:rsidRPr="008C78FC" w:rsidRDefault="009630F5">
          <w:pPr>
            <w:rPr>
              <w:lang w:val="hr-HR"/>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9630F5" w:rsidRPr="008C78FC">
            <w:sdt>
              <w:sdtPr>
                <w:rPr>
                  <w:rFonts w:ascii="Times New Roman" w:hAnsi="Times New Roman" w:cs="Times New Roman"/>
                </w:rPr>
                <w:alias w:val="Kratki pregled"/>
                <w:id w:val="8276291"/>
                <w:dataBinding w:prefixMappings="xmlns:ns0='http://schemas.microsoft.com/office/2006/coverPageProps'" w:xpath="/ns0:CoverPageProperties[1]/ns0:Abstract[1]" w:storeItemID="{55AF091B-3C7A-41E3-B477-F2FDAA23CFDA}"/>
                <w:text/>
              </w:sdtPr>
              <w:sdtContent>
                <w:tc>
                  <w:tcPr>
                    <w:tcW w:w="5000" w:type="pct"/>
                  </w:tcPr>
                  <w:p w:rsidR="009630F5" w:rsidRPr="008C78FC" w:rsidRDefault="0081680C" w:rsidP="009630F5">
                    <w:pPr>
                      <w:pStyle w:val="Bezproreda"/>
                      <w:jc w:val="center"/>
                      <w:rPr>
                        <w:rFonts w:ascii="Times New Roman" w:hAnsi="Times New Roman" w:cs="Times New Roman"/>
                      </w:rPr>
                    </w:pPr>
                    <w:r w:rsidRPr="008C78FC">
                      <w:rPr>
                        <w:rFonts w:ascii="Times New Roman" w:hAnsi="Times New Roman" w:cs="Times New Roman"/>
                      </w:rPr>
                      <w:t>Veljača 2014. godine</w:t>
                    </w:r>
                  </w:p>
                </w:tc>
              </w:sdtContent>
            </w:sdt>
          </w:tr>
        </w:tbl>
        <w:p w:rsidR="009630F5" w:rsidRPr="008C78FC" w:rsidRDefault="003E64E4">
          <w:pPr>
            <w:spacing w:line="240" w:lineRule="auto"/>
            <w:jc w:val="left"/>
            <w:rPr>
              <w:rFonts w:eastAsiaTheme="majorEastAsia"/>
              <w:szCs w:val="24"/>
              <w:lang w:val="hr-HR"/>
            </w:rPr>
          </w:pPr>
          <w:r w:rsidRPr="008C78FC">
            <w:rPr>
              <w:b/>
              <w:bCs/>
              <w:noProof/>
              <w:szCs w:val="24"/>
              <w:lang w:val="hr-HR" w:eastAsia="hr-HR"/>
            </w:rPr>
            <mc:AlternateContent>
              <mc:Choice Requires="wps">
                <w:drawing>
                  <wp:anchor distT="0" distB="0" distL="114300" distR="114300" simplePos="0" relativeHeight="251660288" behindDoc="0" locked="0" layoutInCell="1" allowOverlap="1" wp14:anchorId="7A5CDB25" wp14:editId="57500E0E">
                    <wp:simplePos x="0" y="0"/>
                    <wp:positionH relativeFrom="column">
                      <wp:posOffset>1411605</wp:posOffset>
                    </wp:positionH>
                    <wp:positionV relativeFrom="paragraph">
                      <wp:posOffset>3862705</wp:posOffset>
                    </wp:positionV>
                    <wp:extent cx="3438525" cy="673100"/>
                    <wp:effectExtent l="0" t="0" r="28575" b="1270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67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549E" w:rsidRPr="003D3CB6" w:rsidRDefault="0052549E" w:rsidP="003D3CB6">
                                <w:pPr>
                                  <w:jc w:val="center"/>
                                  <w:rPr>
                                    <w:szCs w:val="24"/>
                                    <w:lang w:val="hr-HR"/>
                                  </w:rPr>
                                </w:pPr>
                                <w:r w:rsidRPr="003D3CB6">
                                  <w:rPr>
                                    <w:szCs w:val="24"/>
                                    <w:lang w:val="hr-HR"/>
                                  </w:rPr>
                                  <w:t>Autor:</w:t>
                                </w:r>
                              </w:p>
                              <w:p w:rsidR="0052549E" w:rsidRPr="003D3CB6" w:rsidRDefault="0052549E" w:rsidP="003D3CB6">
                                <w:pPr>
                                  <w:jc w:val="center"/>
                                  <w:rPr>
                                    <w:sz w:val="36"/>
                                    <w:szCs w:val="36"/>
                                    <w:lang w:val="hr-HR"/>
                                  </w:rPr>
                                </w:pPr>
                                <w:r w:rsidRPr="003D3CB6">
                                  <w:rPr>
                                    <w:sz w:val="36"/>
                                    <w:szCs w:val="36"/>
                                    <w:lang w:val="hr-HR"/>
                                  </w:rPr>
                                  <w:t>Nina Bakić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ni okvir 2" o:spid="_x0000_s1027" type="#_x0000_t202" style="position:absolute;margin-left:111.15pt;margin-top:304.15pt;width:270.75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" fillcolor="white [3201]" strokeweight=".5pt">
                    <v:path arrowok="t"/>
                    <v:textbox>
                      <w:txbxContent>
                        <w:p w:rsidR="0052549E" w:rsidRPr="003D3CB6" w:rsidRDefault="0052549E" w:rsidP="003D3CB6">
                          <w:pPr>
                            <w:jc w:val="center"/>
                            <w:rPr>
                              <w:szCs w:val="24"/>
                              <w:lang w:val="hr-HR"/>
                            </w:rPr>
                          </w:pPr>
                          <w:r w:rsidRPr="003D3CB6">
                            <w:rPr>
                              <w:szCs w:val="24"/>
                              <w:lang w:val="hr-HR"/>
                            </w:rPr>
                            <w:t>Autor:</w:t>
                          </w:r>
                        </w:p>
                        <w:p w:rsidR="0052549E" w:rsidRPr="003D3CB6" w:rsidRDefault="0052549E" w:rsidP="003D3CB6">
                          <w:pPr>
                            <w:jc w:val="center"/>
                            <w:rPr>
                              <w:sz w:val="36"/>
                              <w:szCs w:val="36"/>
                              <w:lang w:val="hr-HR"/>
                            </w:rPr>
                          </w:pPr>
                          <w:r w:rsidRPr="003D3CB6">
                            <w:rPr>
                              <w:sz w:val="36"/>
                              <w:szCs w:val="36"/>
                              <w:lang w:val="hr-HR"/>
                            </w:rPr>
                            <w:t>Nina Bakić</w:t>
                          </w:r>
                        </w:p>
                      </w:txbxContent>
                    </v:textbox>
                  </v:shape>
                </w:pict>
              </mc:Fallback>
            </mc:AlternateContent>
          </w:r>
          <w:r w:rsidRPr="008C78FC">
            <w:rPr>
              <w:b/>
              <w:bCs/>
              <w:noProof/>
              <w:szCs w:val="24"/>
              <w:lang w:val="hr-HR" w:eastAsia="hr-HR"/>
            </w:rPr>
            <mc:AlternateContent>
              <mc:Choice Requires="wps">
                <w:drawing>
                  <wp:anchor distT="0" distB="0" distL="114300" distR="114300" simplePos="0" relativeHeight="251661312" behindDoc="0" locked="0" layoutInCell="1" allowOverlap="1" wp14:anchorId="3538136A" wp14:editId="434DABAA">
                    <wp:simplePos x="0" y="0"/>
                    <wp:positionH relativeFrom="column">
                      <wp:posOffset>1414780</wp:posOffset>
                    </wp:positionH>
                    <wp:positionV relativeFrom="paragraph">
                      <wp:posOffset>4843780</wp:posOffset>
                    </wp:positionV>
                    <wp:extent cx="3438525" cy="790575"/>
                    <wp:effectExtent l="0" t="0" r="28575" b="28575"/>
                    <wp:wrapNone/>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549E" w:rsidRPr="00D6304A" w:rsidRDefault="0052549E" w:rsidP="005F0633">
                                <w:pPr>
                                  <w:jc w:val="center"/>
                                  <w:rPr>
                                    <w:sz w:val="36"/>
                                    <w:szCs w:val="36"/>
                                    <w:lang w:val="hr-HR"/>
                                  </w:rPr>
                                </w:pPr>
                                <w:r w:rsidRPr="00D6304A">
                                  <w:rPr>
                                    <w:sz w:val="36"/>
                                    <w:szCs w:val="36"/>
                                    <w:lang w:val="hr-HR"/>
                                  </w:rPr>
                                  <w:t>Mentor:</w:t>
                                </w:r>
                              </w:p>
                              <w:p w:rsidR="0052549E" w:rsidRPr="00D6304A" w:rsidRDefault="0052549E" w:rsidP="005F0633">
                                <w:pPr>
                                  <w:jc w:val="center"/>
                                  <w:rPr>
                                    <w:sz w:val="36"/>
                                    <w:szCs w:val="36"/>
                                    <w:lang w:val="hr-HR"/>
                                  </w:rPr>
                                </w:pPr>
                                <w:r w:rsidRPr="00D6304A">
                                  <w:rPr>
                                    <w:sz w:val="36"/>
                                    <w:szCs w:val="36"/>
                                    <w:lang w:val="hr-HR"/>
                                  </w:rPr>
                                  <w:t xml:space="preserve">Prof. dr. sc. Iris </w:t>
                                </w:r>
                                <w:proofErr w:type="spellStart"/>
                                <w:r w:rsidRPr="00D6304A">
                                  <w:rPr>
                                    <w:sz w:val="36"/>
                                    <w:szCs w:val="36"/>
                                    <w:lang w:val="hr-HR"/>
                                  </w:rPr>
                                  <w:t>Goldner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ni okvir 3" o:spid="_x0000_s1028" type="#_x0000_t202" style="position:absolute;margin-left:111.4pt;margin-top:381.4pt;width:270.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" fillcolor="white [3201]" strokeweight=".5pt">
                    <v:path arrowok="t"/>
                    <v:textbox>
                      <w:txbxContent>
                        <w:p w:rsidR="0052549E" w:rsidRPr="00D6304A" w:rsidRDefault="0052549E" w:rsidP="005F0633">
                          <w:pPr>
                            <w:jc w:val="center"/>
                            <w:rPr>
                              <w:sz w:val="36"/>
                              <w:szCs w:val="36"/>
                              <w:lang w:val="hr-HR"/>
                            </w:rPr>
                          </w:pPr>
                          <w:r w:rsidRPr="00D6304A">
                            <w:rPr>
                              <w:sz w:val="36"/>
                              <w:szCs w:val="36"/>
                              <w:lang w:val="hr-HR"/>
                            </w:rPr>
                            <w:t>Mentor:</w:t>
                          </w:r>
                        </w:p>
                        <w:p w:rsidR="0052549E" w:rsidRPr="00D6304A" w:rsidRDefault="0052549E" w:rsidP="005F0633">
                          <w:pPr>
                            <w:jc w:val="center"/>
                            <w:rPr>
                              <w:sz w:val="36"/>
                              <w:szCs w:val="36"/>
                              <w:lang w:val="hr-HR"/>
                            </w:rPr>
                          </w:pPr>
                          <w:r w:rsidRPr="00D6304A">
                            <w:rPr>
                              <w:sz w:val="36"/>
                              <w:szCs w:val="36"/>
                              <w:lang w:val="hr-HR"/>
                            </w:rPr>
                            <w:t xml:space="preserve">Prof. dr. sc. Iris </w:t>
                          </w:r>
                          <w:proofErr w:type="spellStart"/>
                          <w:r w:rsidRPr="00D6304A">
                            <w:rPr>
                              <w:sz w:val="36"/>
                              <w:szCs w:val="36"/>
                              <w:lang w:val="hr-HR"/>
                            </w:rPr>
                            <w:t>Goldner</w:t>
                          </w:r>
                          <w:proofErr w:type="spellEnd"/>
                        </w:p>
                      </w:txbxContent>
                    </v:textbox>
                  </v:shape>
                </w:pict>
              </mc:Fallback>
            </mc:AlternateContent>
          </w:r>
          <w:r w:rsidR="009630F5" w:rsidRPr="008C78FC">
            <w:rPr>
              <w:b/>
              <w:bCs/>
              <w:szCs w:val="24"/>
              <w:lang w:val="hr-HR"/>
            </w:rPr>
            <w:br w:type="page"/>
          </w:r>
        </w:p>
      </w:sdtContent>
    </w:sdt>
    <w:sdt>
      <w:sdtPr>
        <w:rPr>
          <w:rFonts w:ascii="Times New Roman" w:eastAsia="Times New Roman" w:hAnsi="Times New Roman" w:cs="Times New Roman"/>
          <w:b w:val="0"/>
          <w:bCs w:val="0"/>
          <w:color w:val="auto"/>
          <w:sz w:val="24"/>
          <w:szCs w:val="24"/>
          <w:lang w:val="en-GB" w:eastAsia="en-US"/>
        </w:rPr>
        <w:id w:val="-843313468"/>
        <w:docPartObj>
          <w:docPartGallery w:val="Table of Contents"/>
          <w:docPartUnique/>
        </w:docPartObj>
      </w:sdtPr>
      <w:sdtContent>
        <w:p w:rsidR="000E5E47" w:rsidRPr="008C78FC" w:rsidRDefault="000E5E47" w:rsidP="00B4527A">
          <w:pPr>
            <w:pStyle w:val="TOCNaslov"/>
            <w:tabs>
              <w:tab w:val="left" w:pos="2127"/>
            </w:tabs>
            <w:spacing w:line="480" w:lineRule="auto"/>
            <w:jc w:val="both"/>
            <w:rPr>
              <w:rFonts w:ascii="Times New Roman" w:hAnsi="Times New Roman" w:cs="Times New Roman"/>
              <w:sz w:val="24"/>
              <w:szCs w:val="24"/>
            </w:rPr>
          </w:pPr>
          <w:r w:rsidRPr="008C78FC">
            <w:rPr>
              <w:rFonts w:ascii="Times New Roman" w:hAnsi="Times New Roman" w:cs="Times New Roman"/>
              <w:sz w:val="24"/>
              <w:szCs w:val="24"/>
            </w:rPr>
            <w:t>Sadržaj</w:t>
          </w:r>
        </w:p>
        <w:p w:rsidR="00A43E3E" w:rsidRDefault="00D070EE">
          <w:pPr>
            <w:pStyle w:val="Sadraj1"/>
            <w:tabs>
              <w:tab w:val="left" w:pos="480"/>
              <w:tab w:val="right" w:leader="dot" w:pos="9062"/>
            </w:tabs>
            <w:rPr>
              <w:rFonts w:asciiTheme="minorHAnsi" w:eastAsiaTheme="minorEastAsia" w:hAnsiTheme="minorHAnsi" w:cstheme="minorBidi"/>
              <w:noProof/>
              <w:sz w:val="22"/>
              <w:szCs w:val="22"/>
              <w:lang w:val="hr-HR" w:eastAsia="hr-HR"/>
            </w:rPr>
          </w:pPr>
          <w:r w:rsidRPr="008C78FC">
            <w:rPr>
              <w:szCs w:val="24"/>
              <w:lang w:val="hr-HR"/>
            </w:rPr>
            <w:fldChar w:fldCharType="begin"/>
          </w:r>
          <w:r w:rsidR="000E5E47" w:rsidRPr="008C78FC">
            <w:rPr>
              <w:szCs w:val="24"/>
              <w:lang w:val="hr-HR"/>
            </w:rPr>
            <w:instrText xml:space="preserve"> TOC \o "1-3" \h \z \u </w:instrText>
          </w:r>
          <w:r w:rsidRPr="008C78FC">
            <w:rPr>
              <w:szCs w:val="24"/>
              <w:lang w:val="hr-HR"/>
            </w:rPr>
            <w:fldChar w:fldCharType="separate"/>
          </w:r>
          <w:hyperlink w:anchor="_Toc381547524" w:history="1">
            <w:r w:rsidR="00A43E3E" w:rsidRPr="008E1291">
              <w:rPr>
                <w:rStyle w:val="Hiperveza"/>
                <w:rFonts w:eastAsiaTheme="majorEastAsia"/>
                <w:noProof/>
                <w:lang w:val="hr-HR"/>
              </w:rPr>
              <w:t>I.</w:t>
            </w:r>
            <w:r w:rsidR="00A43E3E">
              <w:rPr>
                <w:rFonts w:asciiTheme="minorHAnsi" w:eastAsiaTheme="minorEastAsia" w:hAnsiTheme="minorHAnsi" w:cstheme="minorBidi"/>
                <w:noProof/>
                <w:sz w:val="22"/>
                <w:szCs w:val="22"/>
                <w:lang w:val="hr-HR" w:eastAsia="hr-HR"/>
              </w:rPr>
              <w:tab/>
            </w:r>
            <w:r w:rsidR="00A43E3E" w:rsidRPr="008E1291">
              <w:rPr>
                <w:rStyle w:val="Hiperveza"/>
                <w:rFonts w:eastAsiaTheme="majorEastAsia"/>
                <w:noProof/>
                <w:lang w:val="hr-HR"/>
              </w:rPr>
              <w:t>Uvod</w:t>
            </w:r>
            <w:r w:rsidR="00A43E3E">
              <w:rPr>
                <w:noProof/>
                <w:webHidden/>
              </w:rPr>
              <w:tab/>
            </w:r>
            <w:r w:rsidR="00A43E3E">
              <w:rPr>
                <w:noProof/>
                <w:webHidden/>
              </w:rPr>
              <w:fldChar w:fldCharType="begin"/>
            </w:r>
            <w:r w:rsidR="00A43E3E">
              <w:rPr>
                <w:noProof/>
                <w:webHidden/>
              </w:rPr>
              <w:instrText xml:space="preserve"> PAGEREF _Toc381547524 \h </w:instrText>
            </w:r>
            <w:r w:rsidR="00A43E3E">
              <w:rPr>
                <w:noProof/>
                <w:webHidden/>
              </w:rPr>
            </w:r>
            <w:r w:rsidR="00A43E3E">
              <w:rPr>
                <w:noProof/>
                <w:webHidden/>
              </w:rPr>
              <w:fldChar w:fldCharType="separate"/>
            </w:r>
            <w:r w:rsidR="00746C3D">
              <w:rPr>
                <w:noProof/>
                <w:webHidden/>
              </w:rPr>
              <w:t>2</w:t>
            </w:r>
            <w:r w:rsidR="00A43E3E">
              <w:rPr>
                <w:noProof/>
                <w:webHidden/>
              </w:rPr>
              <w:fldChar w:fldCharType="end"/>
            </w:r>
          </w:hyperlink>
        </w:p>
        <w:p w:rsidR="00A43E3E" w:rsidRDefault="0052549E">
          <w:pPr>
            <w:pStyle w:val="Sadraj1"/>
            <w:tabs>
              <w:tab w:val="left" w:pos="480"/>
              <w:tab w:val="right" w:leader="dot" w:pos="9062"/>
            </w:tabs>
            <w:rPr>
              <w:rFonts w:asciiTheme="minorHAnsi" w:eastAsiaTheme="minorEastAsia" w:hAnsiTheme="minorHAnsi" w:cstheme="minorBidi"/>
              <w:noProof/>
              <w:sz w:val="22"/>
              <w:szCs w:val="22"/>
              <w:lang w:val="hr-HR" w:eastAsia="hr-HR"/>
            </w:rPr>
          </w:pPr>
          <w:hyperlink w:anchor="_Toc381547525" w:history="1">
            <w:r w:rsidR="00A43E3E" w:rsidRPr="008E1291">
              <w:rPr>
                <w:rStyle w:val="Hiperveza"/>
                <w:rFonts w:eastAsia="TimesNewRomanPSMT"/>
                <w:noProof/>
                <w:lang w:val="hr-HR"/>
              </w:rPr>
              <w:t>II.</w:t>
            </w:r>
            <w:r w:rsidR="00A43E3E">
              <w:rPr>
                <w:rFonts w:asciiTheme="minorHAnsi" w:eastAsiaTheme="minorEastAsia" w:hAnsiTheme="minorHAnsi" w:cstheme="minorBidi"/>
                <w:noProof/>
                <w:sz w:val="22"/>
                <w:szCs w:val="22"/>
                <w:lang w:val="hr-HR" w:eastAsia="hr-HR"/>
              </w:rPr>
              <w:tab/>
            </w:r>
            <w:r w:rsidR="00A43E3E" w:rsidRPr="008E1291">
              <w:rPr>
                <w:rStyle w:val="Hiperveza"/>
                <w:rFonts w:eastAsiaTheme="majorEastAsia"/>
                <w:noProof/>
                <w:lang w:val="hr-HR"/>
              </w:rPr>
              <w:t>Pravni</w:t>
            </w:r>
            <w:r w:rsidR="00A43E3E" w:rsidRPr="008E1291">
              <w:rPr>
                <w:rStyle w:val="Hiperveza"/>
                <w:rFonts w:eastAsia="TimesNewRomanPSMT"/>
                <w:noProof/>
                <w:lang w:val="hr-HR"/>
              </w:rPr>
              <w:t xml:space="preserve"> okvir</w:t>
            </w:r>
            <w:r w:rsidR="00A43E3E">
              <w:rPr>
                <w:noProof/>
                <w:webHidden/>
              </w:rPr>
              <w:tab/>
            </w:r>
            <w:r w:rsidR="00A43E3E">
              <w:rPr>
                <w:noProof/>
                <w:webHidden/>
              </w:rPr>
              <w:fldChar w:fldCharType="begin"/>
            </w:r>
            <w:r w:rsidR="00A43E3E">
              <w:rPr>
                <w:noProof/>
                <w:webHidden/>
              </w:rPr>
              <w:instrText xml:space="preserve"> PAGEREF _Toc381547525 \h </w:instrText>
            </w:r>
            <w:r w:rsidR="00A43E3E">
              <w:rPr>
                <w:noProof/>
                <w:webHidden/>
              </w:rPr>
            </w:r>
            <w:r w:rsidR="00A43E3E">
              <w:rPr>
                <w:noProof/>
                <w:webHidden/>
              </w:rPr>
              <w:fldChar w:fldCharType="separate"/>
            </w:r>
            <w:r w:rsidR="00746C3D">
              <w:rPr>
                <w:noProof/>
                <w:webHidden/>
              </w:rPr>
              <w:t>4</w:t>
            </w:r>
            <w:r w:rsidR="00A43E3E">
              <w:rPr>
                <w:noProof/>
                <w:webHidden/>
              </w:rPr>
              <w:fldChar w:fldCharType="end"/>
            </w:r>
          </w:hyperlink>
        </w:p>
        <w:p w:rsidR="00A43E3E" w:rsidRDefault="0052549E">
          <w:pPr>
            <w:pStyle w:val="Sadraj3"/>
            <w:tabs>
              <w:tab w:val="right" w:leader="dot" w:pos="9062"/>
            </w:tabs>
            <w:rPr>
              <w:rFonts w:asciiTheme="minorHAnsi" w:eastAsiaTheme="minorEastAsia" w:hAnsiTheme="minorHAnsi" w:cstheme="minorBidi"/>
              <w:noProof/>
              <w:sz w:val="22"/>
              <w:szCs w:val="22"/>
              <w:lang w:val="hr-HR" w:eastAsia="hr-HR"/>
            </w:rPr>
          </w:pPr>
          <w:hyperlink w:anchor="_Toc381547526" w:history="1">
            <w:r w:rsidR="00A43E3E" w:rsidRPr="008E1291">
              <w:rPr>
                <w:rStyle w:val="Hiperveza"/>
                <w:rFonts w:eastAsia="TimesNewRomanPSMT"/>
                <w:noProof/>
                <w:lang w:val="hr-HR"/>
              </w:rPr>
              <w:t>Zabrana</w:t>
            </w:r>
            <w:r w:rsidR="00A43E3E">
              <w:rPr>
                <w:noProof/>
                <w:webHidden/>
              </w:rPr>
              <w:tab/>
            </w:r>
            <w:r w:rsidR="00A43E3E">
              <w:rPr>
                <w:noProof/>
                <w:webHidden/>
              </w:rPr>
              <w:fldChar w:fldCharType="begin"/>
            </w:r>
            <w:r w:rsidR="00A43E3E">
              <w:rPr>
                <w:noProof/>
                <w:webHidden/>
              </w:rPr>
              <w:instrText xml:space="preserve"> PAGEREF _Toc381547526 \h </w:instrText>
            </w:r>
            <w:r w:rsidR="00A43E3E">
              <w:rPr>
                <w:noProof/>
                <w:webHidden/>
              </w:rPr>
            </w:r>
            <w:r w:rsidR="00A43E3E">
              <w:rPr>
                <w:noProof/>
                <w:webHidden/>
              </w:rPr>
              <w:fldChar w:fldCharType="separate"/>
            </w:r>
            <w:r w:rsidR="00746C3D">
              <w:rPr>
                <w:noProof/>
                <w:webHidden/>
              </w:rPr>
              <w:t>5</w:t>
            </w:r>
            <w:r w:rsidR="00A43E3E">
              <w:rPr>
                <w:noProof/>
                <w:webHidden/>
              </w:rPr>
              <w:fldChar w:fldCharType="end"/>
            </w:r>
          </w:hyperlink>
        </w:p>
        <w:p w:rsidR="00A43E3E" w:rsidRDefault="0052549E">
          <w:pPr>
            <w:pStyle w:val="Sadraj3"/>
            <w:tabs>
              <w:tab w:val="right" w:leader="dot" w:pos="9062"/>
            </w:tabs>
            <w:rPr>
              <w:rFonts w:asciiTheme="minorHAnsi" w:eastAsiaTheme="minorEastAsia" w:hAnsiTheme="minorHAnsi" w:cstheme="minorBidi"/>
              <w:noProof/>
              <w:sz w:val="22"/>
              <w:szCs w:val="22"/>
              <w:lang w:val="hr-HR" w:eastAsia="hr-HR"/>
            </w:rPr>
          </w:pPr>
          <w:hyperlink w:anchor="_Toc381547527" w:history="1">
            <w:r w:rsidR="00A43E3E" w:rsidRPr="008E1291">
              <w:rPr>
                <w:rStyle w:val="Hiperveza"/>
                <w:rFonts w:eastAsia="TimesNewRomanPSMT"/>
                <w:noProof/>
                <w:lang w:val="hr-HR"/>
              </w:rPr>
              <w:t>Izuzetak</w:t>
            </w:r>
            <w:r w:rsidR="00A43E3E">
              <w:rPr>
                <w:noProof/>
                <w:webHidden/>
              </w:rPr>
              <w:tab/>
            </w:r>
            <w:r w:rsidR="00A43E3E">
              <w:rPr>
                <w:noProof/>
                <w:webHidden/>
              </w:rPr>
              <w:fldChar w:fldCharType="begin"/>
            </w:r>
            <w:r w:rsidR="00A43E3E">
              <w:rPr>
                <w:noProof/>
                <w:webHidden/>
              </w:rPr>
              <w:instrText xml:space="preserve"> PAGEREF _Toc381547527 \h </w:instrText>
            </w:r>
            <w:r w:rsidR="00A43E3E">
              <w:rPr>
                <w:noProof/>
                <w:webHidden/>
              </w:rPr>
            </w:r>
            <w:r w:rsidR="00A43E3E">
              <w:rPr>
                <w:noProof/>
                <w:webHidden/>
              </w:rPr>
              <w:fldChar w:fldCharType="separate"/>
            </w:r>
            <w:r w:rsidR="00746C3D">
              <w:rPr>
                <w:noProof/>
                <w:webHidden/>
              </w:rPr>
              <w:t>6</w:t>
            </w:r>
            <w:r w:rsidR="00A43E3E">
              <w:rPr>
                <w:noProof/>
                <w:webHidden/>
              </w:rPr>
              <w:fldChar w:fldCharType="end"/>
            </w:r>
          </w:hyperlink>
        </w:p>
        <w:p w:rsidR="00A43E3E" w:rsidRDefault="0052549E">
          <w:pPr>
            <w:pStyle w:val="Sadraj3"/>
            <w:tabs>
              <w:tab w:val="right" w:leader="dot" w:pos="9062"/>
            </w:tabs>
            <w:rPr>
              <w:rFonts w:asciiTheme="minorHAnsi" w:eastAsiaTheme="minorEastAsia" w:hAnsiTheme="minorHAnsi" w:cstheme="minorBidi"/>
              <w:noProof/>
              <w:sz w:val="22"/>
              <w:szCs w:val="22"/>
              <w:lang w:val="hr-HR" w:eastAsia="hr-HR"/>
            </w:rPr>
          </w:pPr>
          <w:hyperlink w:anchor="_Toc381547528" w:history="1">
            <w:r w:rsidR="00A43E3E" w:rsidRPr="008E1291">
              <w:rPr>
                <w:rStyle w:val="Hiperveza"/>
                <w:rFonts w:eastAsia="TimesNewRomanPSMT"/>
                <w:noProof/>
                <w:lang w:val="hr-HR"/>
              </w:rPr>
              <w:t>Pravna posljedica</w:t>
            </w:r>
            <w:r w:rsidR="00A43E3E">
              <w:rPr>
                <w:noProof/>
                <w:webHidden/>
              </w:rPr>
              <w:tab/>
            </w:r>
            <w:r w:rsidR="00A43E3E">
              <w:rPr>
                <w:noProof/>
                <w:webHidden/>
              </w:rPr>
              <w:fldChar w:fldCharType="begin"/>
            </w:r>
            <w:r w:rsidR="00A43E3E">
              <w:rPr>
                <w:noProof/>
                <w:webHidden/>
              </w:rPr>
              <w:instrText xml:space="preserve"> PAGEREF _Toc381547528 \h </w:instrText>
            </w:r>
            <w:r w:rsidR="00A43E3E">
              <w:rPr>
                <w:noProof/>
                <w:webHidden/>
              </w:rPr>
            </w:r>
            <w:r w:rsidR="00A43E3E">
              <w:rPr>
                <w:noProof/>
                <w:webHidden/>
              </w:rPr>
              <w:fldChar w:fldCharType="separate"/>
            </w:r>
            <w:r w:rsidR="00746C3D">
              <w:rPr>
                <w:noProof/>
                <w:webHidden/>
              </w:rPr>
              <w:t>7</w:t>
            </w:r>
            <w:r w:rsidR="00A43E3E">
              <w:rPr>
                <w:noProof/>
                <w:webHidden/>
              </w:rPr>
              <w:fldChar w:fldCharType="end"/>
            </w:r>
          </w:hyperlink>
        </w:p>
        <w:p w:rsidR="00A43E3E" w:rsidRDefault="0052549E">
          <w:pPr>
            <w:pStyle w:val="Sadraj1"/>
            <w:tabs>
              <w:tab w:val="left" w:pos="660"/>
              <w:tab w:val="right" w:leader="dot" w:pos="9062"/>
            </w:tabs>
            <w:rPr>
              <w:rFonts w:asciiTheme="minorHAnsi" w:eastAsiaTheme="minorEastAsia" w:hAnsiTheme="minorHAnsi" w:cstheme="minorBidi"/>
              <w:noProof/>
              <w:sz w:val="22"/>
              <w:szCs w:val="22"/>
              <w:lang w:val="hr-HR" w:eastAsia="hr-HR"/>
            </w:rPr>
          </w:pPr>
          <w:hyperlink w:anchor="_Toc381547529" w:history="1">
            <w:r w:rsidR="00A43E3E" w:rsidRPr="008E1291">
              <w:rPr>
                <w:rStyle w:val="Hiperveza"/>
                <w:rFonts w:eastAsiaTheme="majorEastAsia"/>
                <w:noProof/>
                <w:lang w:val="hr-HR"/>
              </w:rPr>
              <w:t>III.</w:t>
            </w:r>
            <w:r w:rsidR="00A43E3E">
              <w:rPr>
                <w:rFonts w:asciiTheme="minorHAnsi" w:eastAsiaTheme="minorEastAsia" w:hAnsiTheme="minorHAnsi" w:cstheme="minorBidi"/>
                <w:noProof/>
                <w:sz w:val="22"/>
                <w:szCs w:val="22"/>
                <w:lang w:val="hr-HR" w:eastAsia="hr-HR"/>
              </w:rPr>
              <w:tab/>
            </w:r>
            <w:r w:rsidR="00A43E3E" w:rsidRPr="008E1291">
              <w:rPr>
                <w:rStyle w:val="Hiperveza"/>
                <w:rFonts w:eastAsiaTheme="majorEastAsia"/>
                <w:noProof/>
                <w:lang w:val="hr-HR"/>
              </w:rPr>
              <w:t>Ograničenje tržišnog natjecanja – dihotomija cilj/učinak</w:t>
            </w:r>
            <w:r w:rsidR="00A43E3E">
              <w:rPr>
                <w:noProof/>
                <w:webHidden/>
              </w:rPr>
              <w:tab/>
            </w:r>
            <w:r w:rsidR="00A43E3E">
              <w:rPr>
                <w:noProof/>
                <w:webHidden/>
              </w:rPr>
              <w:fldChar w:fldCharType="begin"/>
            </w:r>
            <w:r w:rsidR="00A43E3E">
              <w:rPr>
                <w:noProof/>
                <w:webHidden/>
              </w:rPr>
              <w:instrText xml:space="preserve"> PAGEREF _Toc381547529 \h </w:instrText>
            </w:r>
            <w:r w:rsidR="00A43E3E">
              <w:rPr>
                <w:noProof/>
                <w:webHidden/>
              </w:rPr>
            </w:r>
            <w:r w:rsidR="00A43E3E">
              <w:rPr>
                <w:noProof/>
                <w:webHidden/>
              </w:rPr>
              <w:fldChar w:fldCharType="separate"/>
            </w:r>
            <w:r w:rsidR="00746C3D">
              <w:rPr>
                <w:noProof/>
                <w:webHidden/>
              </w:rPr>
              <w:t>8</w:t>
            </w:r>
            <w:r w:rsidR="00A43E3E">
              <w:rPr>
                <w:noProof/>
                <w:webHidden/>
              </w:rPr>
              <w:fldChar w:fldCharType="end"/>
            </w:r>
          </w:hyperlink>
        </w:p>
        <w:p w:rsidR="00A43E3E" w:rsidRDefault="0052549E">
          <w:pPr>
            <w:pStyle w:val="Sadraj1"/>
            <w:tabs>
              <w:tab w:val="left" w:pos="660"/>
              <w:tab w:val="right" w:leader="dot" w:pos="9062"/>
            </w:tabs>
            <w:rPr>
              <w:rFonts w:asciiTheme="minorHAnsi" w:eastAsiaTheme="minorEastAsia" w:hAnsiTheme="minorHAnsi" w:cstheme="minorBidi"/>
              <w:noProof/>
              <w:sz w:val="22"/>
              <w:szCs w:val="22"/>
              <w:lang w:val="hr-HR" w:eastAsia="hr-HR"/>
            </w:rPr>
          </w:pPr>
          <w:hyperlink w:anchor="_Toc381547530" w:history="1">
            <w:r w:rsidR="00A43E3E" w:rsidRPr="008E1291">
              <w:rPr>
                <w:rStyle w:val="Hiperveza"/>
                <w:rFonts w:eastAsiaTheme="majorEastAsia"/>
                <w:noProof/>
                <w:lang w:val="hr-HR"/>
              </w:rPr>
              <w:t>IV.</w:t>
            </w:r>
            <w:r w:rsidR="00A43E3E">
              <w:rPr>
                <w:rFonts w:asciiTheme="minorHAnsi" w:eastAsiaTheme="minorEastAsia" w:hAnsiTheme="minorHAnsi" w:cstheme="minorBidi"/>
                <w:noProof/>
                <w:sz w:val="22"/>
                <w:szCs w:val="22"/>
                <w:lang w:val="hr-HR" w:eastAsia="hr-HR"/>
              </w:rPr>
              <w:tab/>
            </w:r>
            <w:r w:rsidR="00A43E3E" w:rsidRPr="008E1291">
              <w:rPr>
                <w:rStyle w:val="Hiperveza"/>
                <w:rFonts w:eastAsiaTheme="majorEastAsia"/>
                <w:noProof/>
                <w:lang w:val="hr-HR"/>
              </w:rPr>
              <w:t>Utvrđivanje protu-tržišnog cilja – ortodoksni pristup</w:t>
            </w:r>
            <w:r w:rsidR="00A43E3E">
              <w:rPr>
                <w:noProof/>
                <w:webHidden/>
              </w:rPr>
              <w:tab/>
            </w:r>
            <w:r w:rsidR="00A43E3E">
              <w:rPr>
                <w:noProof/>
                <w:webHidden/>
              </w:rPr>
              <w:fldChar w:fldCharType="begin"/>
            </w:r>
            <w:r w:rsidR="00A43E3E">
              <w:rPr>
                <w:noProof/>
                <w:webHidden/>
              </w:rPr>
              <w:instrText xml:space="preserve"> PAGEREF _Toc381547530 \h </w:instrText>
            </w:r>
            <w:r w:rsidR="00A43E3E">
              <w:rPr>
                <w:noProof/>
                <w:webHidden/>
              </w:rPr>
            </w:r>
            <w:r w:rsidR="00A43E3E">
              <w:rPr>
                <w:noProof/>
                <w:webHidden/>
              </w:rPr>
              <w:fldChar w:fldCharType="separate"/>
            </w:r>
            <w:r w:rsidR="00746C3D">
              <w:rPr>
                <w:noProof/>
                <w:webHidden/>
              </w:rPr>
              <w:t>11</w:t>
            </w:r>
            <w:r w:rsidR="00A43E3E">
              <w:rPr>
                <w:noProof/>
                <w:webHidden/>
              </w:rPr>
              <w:fldChar w:fldCharType="end"/>
            </w:r>
          </w:hyperlink>
        </w:p>
        <w:p w:rsidR="00A43E3E" w:rsidRDefault="0052549E">
          <w:pPr>
            <w:pStyle w:val="Sadraj2"/>
            <w:tabs>
              <w:tab w:val="right" w:leader="dot" w:pos="9062"/>
            </w:tabs>
            <w:rPr>
              <w:rFonts w:asciiTheme="minorHAnsi" w:eastAsiaTheme="minorEastAsia" w:hAnsiTheme="minorHAnsi" w:cstheme="minorBidi"/>
              <w:noProof/>
              <w:sz w:val="22"/>
              <w:szCs w:val="22"/>
              <w:lang w:val="hr-HR" w:eastAsia="hr-HR"/>
            </w:rPr>
          </w:pPr>
          <w:hyperlink w:anchor="_Toc381547531" w:history="1">
            <w:r w:rsidR="00A43E3E" w:rsidRPr="008E1291">
              <w:rPr>
                <w:rStyle w:val="Hiperveza"/>
                <w:rFonts w:eastAsiaTheme="majorEastAsia"/>
                <w:noProof/>
                <w:lang w:val="hr-HR"/>
              </w:rPr>
              <w:t>Lista zabranjenih sporazuma</w:t>
            </w:r>
            <w:r w:rsidR="00A43E3E">
              <w:rPr>
                <w:noProof/>
                <w:webHidden/>
              </w:rPr>
              <w:tab/>
            </w:r>
            <w:r w:rsidR="00A43E3E">
              <w:rPr>
                <w:noProof/>
                <w:webHidden/>
              </w:rPr>
              <w:fldChar w:fldCharType="begin"/>
            </w:r>
            <w:r w:rsidR="00A43E3E">
              <w:rPr>
                <w:noProof/>
                <w:webHidden/>
              </w:rPr>
              <w:instrText xml:space="preserve"> PAGEREF _Toc381547531 \h </w:instrText>
            </w:r>
            <w:r w:rsidR="00A43E3E">
              <w:rPr>
                <w:noProof/>
                <w:webHidden/>
              </w:rPr>
            </w:r>
            <w:r w:rsidR="00A43E3E">
              <w:rPr>
                <w:noProof/>
                <w:webHidden/>
              </w:rPr>
              <w:fldChar w:fldCharType="separate"/>
            </w:r>
            <w:r w:rsidR="00746C3D">
              <w:rPr>
                <w:noProof/>
                <w:webHidden/>
              </w:rPr>
              <w:t>14</w:t>
            </w:r>
            <w:r w:rsidR="00A43E3E">
              <w:rPr>
                <w:noProof/>
                <w:webHidden/>
              </w:rPr>
              <w:fldChar w:fldCharType="end"/>
            </w:r>
          </w:hyperlink>
        </w:p>
        <w:p w:rsidR="00A43E3E" w:rsidRDefault="0052549E">
          <w:pPr>
            <w:pStyle w:val="Sadraj2"/>
            <w:tabs>
              <w:tab w:val="right" w:leader="dot" w:pos="9062"/>
            </w:tabs>
            <w:rPr>
              <w:rFonts w:asciiTheme="minorHAnsi" w:eastAsiaTheme="minorEastAsia" w:hAnsiTheme="minorHAnsi" w:cstheme="minorBidi"/>
              <w:noProof/>
              <w:sz w:val="22"/>
              <w:szCs w:val="22"/>
              <w:lang w:val="hr-HR" w:eastAsia="hr-HR"/>
            </w:rPr>
          </w:pPr>
          <w:hyperlink w:anchor="_Toc381547532" w:history="1">
            <w:r w:rsidR="00A43E3E" w:rsidRPr="008E1291">
              <w:rPr>
                <w:rStyle w:val="Hiperveza"/>
                <w:rFonts w:eastAsiaTheme="majorEastAsia"/>
                <w:noProof/>
                <w:lang w:val="hr-HR"/>
              </w:rPr>
              <w:t>‘Tvrdokorna’ ograničenja ili ‘apsolutno zabranjena ograničenja’</w:t>
            </w:r>
            <w:r w:rsidR="00A43E3E">
              <w:rPr>
                <w:noProof/>
                <w:webHidden/>
              </w:rPr>
              <w:tab/>
            </w:r>
            <w:r w:rsidR="00A43E3E">
              <w:rPr>
                <w:noProof/>
                <w:webHidden/>
              </w:rPr>
              <w:fldChar w:fldCharType="begin"/>
            </w:r>
            <w:r w:rsidR="00A43E3E">
              <w:rPr>
                <w:noProof/>
                <w:webHidden/>
              </w:rPr>
              <w:instrText xml:space="preserve"> PAGEREF _Toc381547532 \h </w:instrText>
            </w:r>
            <w:r w:rsidR="00A43E3E">
              <w:rPr>
                <w:noProof/>
                <w:webHidden/>
              </w:rPr>
            </w:r>
            <w:r w:rsidR="00A43E3E">
              <w:rPr>
                <w:noProof/>
                <w:webHidden/>
              </w:rPr>
              <w:fldChar w:fldCharType="separate"/>
            </w:r>
            <w:r w:rsidR="00746C3D">
              <w:rPr>
                <w:noProof/>
                <w:webHidden/>
              </w:rPr>
              <w:t>16</w:t>
            </w:r>
            <w:r w:rsidR="00A43E3E">
              <w:rPr>
                <w:noProof/>
                <w:webHidden/>
              </w:rPr>
              <w:fldChar w:fldCharType="end"/>
            </w:r>
          </w:hyperlink>
        </w:p>
        <w:p w:rsidR="00A43E3E" w:rsidRDefault="0052549E">
          <w:pPr>
            <w:pStyle w:val="Sadraj1"/>
            <w:tabs>
              <w:tab w:val="left" w:pos="480"/>
              <w:tab w:val="right" w:leader="dot" w:pos="9062"/>
            </w:tabs>
            <w:rPr>
              <w:rFonts w:asciiTheme="minorHAnsi" w:eastAsiaTheme="minorEastAsia" w:hAnsiTheme="minorHAnsi" w:cstheme="minorBidi"/>
              <w:noProof/>
              <w:sz w:val="22"/>
              <w:szCs w:val="22"/>
              <w:lang w:val="hr-HR" w:eastAsia="hr-HR"/>
            </w:rPr>
          </w:pPr>
          <w:hyperlink w:anchor="_Toc381547533" w:history="1">
            <w:r w:rsidR="00A43E3E" w:rsidRPr="008E1291">
              <w:rPr>
                <w:rStyle w:val="Hiperveza"/>
                <w:rFonts w:eastAsiaTheme="majorEastAsia"/>
                <w:noProof/>
                <w:lang w:val="hr-HR"/>
              </w:rPr>
              <w:t>V.</w:t>
            </w:r>
            <w:r w:rsidR="00A43E3E">
              <w:rPr>
                <w:rFonts w:asciiTheme="minorHAnsi" w:eastAsiaTheme="minorEastAsia" w:hAnsiTheme="minorHAnsi" w:cstheme="minorBidi"/>
                <w:noProof/>
                <w:sz w:val="22"/>
                <w:szCs w:val="22"/>
                <w:lang w:val="hr-HR" w:eastAsia="hr-HR"/>
              </w:rPr>
              <w:tab/>
            </w:r>
            <w:r w:rsidR="00A43E3E" w:rsidRPr="008E1291">
              <w:rPr>
                <w:rStyle w:val="Hiperveza"/>
                <w:rFonts w:eastAsiaTheme="majorEastAsia"/>
                <w:noProof/>
                <w:lang w:val="hr-HR"/>
              </w:rPr>
              <w:t>Sužavanje kategorije ‘ograničenje po cilju’</w:t>
            </w:r>
            <w:r w:rsidR="00A43E3E">
              <w:rPr>
                <w:noProof/>
                <w:webHidden/>
              </w:rPr>
              <w:tab/>
            </w:r>
            <w:r w:rsidR="00A43E3E">
              <w:rPr>
                <w:noProof/>
                <w:webHidden/>
              </w:rPr>
              <w:fldChar w:fldCharType="begin"/>
            </w:r>
            <w:r w:rsidR="00A43E3E">
              <w:rPr>
                <w:noProof/>
                <w:webHidden/>
              </w:rPr>
              <w:instrText xml:space="preserve"> PAGEREF _Toc381547533 \h </w:instrText>
            </w:r>
            <w:r w:rsidR="00A43E3E">
              <w:rPr>
                <w:noProof/>
                <w:webHidden/>
              </w:rPr>
            </w:r>
            <w:r w:rsidR="00A43E3E">
              <w:rPr>
                <w:noProof/>
                <w:webHidden/>
              </w:rPr>
              <w:fldChar w:fldCharType="separate"/>
            </w:r>
            <w:r w:rsidR="00746C3D">
              <w:rPr>
                <w:noProof/>
                <w:webHidden/>
              </w:rPr>
              <w:t>17</w:t>
            </w:r>
            <w:r w:rsidR="00A43E3E">
              <w:rPr>
                <w:noProof/>
                <w:webHidden/>
              </w:rPr>
              <w:fldChar w:fldCharType="end"/>
            </w:r>
          </w:hyperlink>
        </w:p>
        <w:p w:rsidR="00A43E3E" w:rsidRDefault="0052549E">
          <w:pPr>
            <w:pStyle w:val="Sadraj2"/>
            <w:tabs>
              <w:tab w:val="left" w:pos="880"/>
              <w:tab w:val="right" w:leader="dot" w:pos="9062"/>
            </w:tabs>
            <w:rPr>
              <w:rFonts w:asciiTheme="minorHAnsi" w:eastAsiaTheme="minorEastAsia" w:hAnsiTheme="minorHAnsi" w:cstheme="minorBidi"/>
              <w:noProof/>
              <w:sz w:val="22"/>
              <w:szCs w:val="22"/>
              <w:lang w:val="hr-HR" w:eastAsia="hr-HR"/>
            </w:rPr>
          </w:pPr>
          <w:hyperlink w:anchor="_Toc381547534" w:history="1">
            <w:r w:rsidR="00A43E3E" w:rsidRPr="008E1291">
              <w:rPr>
                <w:rStyle w:val="Hiperveza"/>
                <w:rFonts w:eastAsiaTheme="majorEastAsia"/>
                <w:noProof/>
                <w:lang w:val="hr-HR"/>
              </w:rPr>
              <w:t>(i)</w:t>
            </w:r>
            <w:r w:rsidR="00A43E3E">
              <w:rPr>
                <w:rFonts w:asciiTheme="minorHAnsi" w:eastAsiaTheme="minorEastAsia" w:hAnsiTheme="minorHAnsi" w:cstheme="minorBidi"/>
                <w:noProof/>
                <w:sz w:val="22"/>
                <w:szCs w:val="22"/>
                <w:lang w:val="hr-HR" w:eastAsia="hr-HR"/>
              </w:rPr>
              <w:tab/>
            </w:r>
            <w:r w:rsidR="00A43E3E" w:rsidRPr="008E1291">
              <w:rPr>
                <w:rStyle w:val="Hiperveza"/>
                <w:rFonts w:eastAsiaTheme="majorEastAsia"/>
                <w:noProof/>
                <w:lang w:val="hr-HR"/>
              </w:rPr>
              <w:t>Subjektivna namjera</w:t>
            </w:r>
            <w:r w:rsidR="00A43E3E">
              <w:rPr>
                <w:noProof/>
                <w:webHidden/>
              </w:rPr>
              <w:tab/>
            </w:r>
            <w:r w:rsidR="00A43E3E">
              <w:rPr>
                <w:noProof/>
                <w:webHidden/>
              </w:rPr>
              <w:fldChar w:fldCharType="begin"/>
            </w:r>
            <w:r w:rsidR="00A43E3E">
              <w:rPr>
                <w:noProof/>
                <w:webHidden/>
              </w:rPr>
              <w:instrText xml:space="preserve"> PAGEREF _Toc381547534 \h </w:instrText>
            </w:r>
            <w:r w:rsidR="00A43E3E">
              <w:rPr>
                <w:noProof/>
                <w:webHidden/>
              </w:rPr>
            </w:r>
            <w:r w:rsidR="00A43E3E">
              <w:rPr>
                <w:noProof/>
                <w:webHidden/>
              </w:rPr>
              <w:fldChar w:fldCharType="separate"/>
            </w:r>
            <w:r w:rsidR="00746C3D">
              <w:rPr>
                <w:noProof/>
                <w:webHidden/>
              </w:rPr>
              <w:t>18</w:t>
            </w:r>
            <w:r w:rsidR="00A43E3E">
              <w:rPr>
                <w:noProof/>
                <w:webHidden/>
              </w:rPr>
              <w:fldChar w:fldCharType="end"/>
            </w:r>
          </w:hyperlink>
        </w:p>
        <w:p w:rsidR="00A43E3E" w:rsidRDefault="0052549E">
          <w:pPr>
            <w:pStyle w:val="Sadraj2"/>
            <w:tabs>
              <w:tab w:val="left" w:pos="880"/>
              <w:tab w:val="right" w:leader="dot" w:pos="9062"/>
            </w:tabs>
            <w:rPr>
              <w:rFonts w:asciiTheme="minorHAnsi" w:eastAsiaTheme="minorEastAsia" w:hAnsiTheme="minorHAnsi" w:cstheme="minorBidi"/>
              <w:noProof/>
              <w:sz w:val="22"/>
              <w:szCs w:val="22"/>
              <w:lang w:val="hr-HR" w:eastAsia="hr-HR"/>
            </w:rPr>
          </w:pPr>
          <w:hyperlink w:anchor="_Toc381547535" w:history="1">
            <w:r w:rsidR="00A43E3E" w:rsidRPr="008E1291">
              <w:rPr>
                <w:rStyle w:val="Hiperveza"/>
                <w:rFonts w:eastAsiaTheme="majorEastAsia"/>
                <w:noProof/>
                <w:lang w:val="hr-HR"/>
              </w:rPr>
              <w:t>(ii)</w:t>
            </w:r>
            <w:r w:rsidR="00A43E3E">
              <w:rPr>
                <w:rFonts w:asciiTheme="minorHAnsi" w:eastAsiaTheme="minorEastAsia" w:hAnsiTheme="minorHAnsi" w:cstheme="minorBidi"/>
                <w:noProof/>
                <w:sz w:val="22"/>
                <w:szCs w:val="22"/>
                <w:lang w:val="hr-HR" w:eastAsia="hr-HR"/>
              </w:rPr>
              <w:tab/>
            </w:r>
            <w:r w:rsidR="00A43E3E" w:rsidRPr="008E1291">
              <w:rPr>
                <w:rStyle w:val="Hiperveza"/>
                <w:rFonts w:eastAsiaTheme="majorEastAsia"/>
                <w:noProof/>
                <w:lang w:val="hr-HR"/>
              </w:rPr>
              <w:t>Objektivno nužna ograničenja</w:t>
            </w:r>
            <w:r w:rsidR="00A43E3E">
              <w:rPr>
                <w:noProof/>
                <w:webHidden/>
              </w:rPr>
              <w:tab/>
            </w:r>
            <w:r w:rsidR="00A43E3E">
              <w:rPr>
                <w:noProof/>
                <w:webHidden/>
              </w:rPr>
              <w:fldChar w:fldCharType="begin"/>
            </w:r>
            <w:r w:rsidR="00A43E3E">
              <w:rPr>
                <w:noProof/>
                <w:webHidden/>
              </w:rPr>
              <w:instrText xml:space="preserve"> PAGEREF _Toc381547535 \h </w:instrText>
            </w:r>
            <w:r w:rsidR="00A43E3E">
              <w:rPr>
                <w:noProof/>
                <w:webHidden/>
              </w:rPr>
            </w:r>
            <w:r w:rsidR="00A43E3E">
              <w:rPr>
                <w:noProof/>
                <w:webHidden/>
              </w:rPr>
              <w:fldChar w:fldCharType="separate"/>
            </w:r>
            <w:r w:rsidR="00746C3D">
              <w:rPr>
                <w:noProof/>
                <w:webHidden/>
              </w:rPr>
              <w:t>21</w:t>
            </w:r>
            <w:r w:rsidR="00A43E3E">
              <w:rPr>
                <w:noProof/>
                <w:webHidden/>
              </w:rPr>
              <w:fldChar w:fldCharType="end"/>
            </w:r>
          </w:hyperlink>
        </w:p>
        <w:p w:rsidR="00A43E3E" w:rsidRDefault="0052549E">
          <w:pPr>
            <w:pStyle w:val="Sadraj3"/>
            <w:tabs>
              <w:tab w:val="right" w:leader="dot" w:pos="9062"/>
            </w:tabs>
            <w:rPr>
              <w:rFonts w:asciiTheme="minorHAnsi" w:eastAsiaTheme="minorEastAsia" w:hAnsiTheme="minorHAnsi" w:cstheme="minorBidi"/>
              <w:noProof/>
              <w:sz w:val="22"/>
              <w:szCs w:val="22"/>
              <w:lang w:val="hr-HR" w:eastAsia="hr-HR"/>
            </w:rPr>
          </w:pPr>
          <w:hyperlink w:anchor="_Toc381547536" w:history="1">
            <w:r w:rsidR="00A43E3E" w:rsidRPr="008E1291">
              <w:rPr>
                <w:rStyle w:val="Hiperveza"/>
                <w:rFonts w:eastAsiaTheme="majorEastAsia"/>
                <w:noProof/>
                <w:lang w:val="hr-HR"/>
              </w:rPr>
              <w:t>Popratni ograničavajući učinci sporazuma</w:t>
            </w:r>
            <w:r w:rsidR="00A43E3E">
              <w:rPr>
                <w:noProof/>
                <w:webHidden/>
              </w:rPr>
              <w:tab/>
            </w:r>
            <w:r w:rsidR="00A43E3E">
              <w:rPr>
                <w:noProof/>
                <w:webHidden/>
              </w:rPr>
              <w:fldChar w:fldCharType="begin"/>
            </w:r>
            <w:r w:rsidR="00A43E3E">
              <w:rPr>
                <w:noProof/>
                <w:webHidden/>
              </w:rPr>
              <w:instrText xml:space="preserve"> PAGEREF _Toc381547536 \h </w:instrText>
            </w:r>
            <w:r w:rsidR="00A43E3E">
              <w:rPr>
                <w:noProof/>
                <w:webHidden/>
              </w:rPr>
              <w:fldChar w:fldCharType="separate"/>
            </w:r>
            <w:r w:rsidR="00746C3D">
              <w:rPr>
                <w:b/>
                <w:bCs/>
                <w:noProof/>
                <w:webHidden/>
                <w:lang w:val="hr-HR"/>
              </w:rPr>
              <w:t>Pogreška! Knjižna oznaka nije definirana.</w:t>
            </w:r>
            <w:r w:rsidR="00A43E3E">
              <w:rPr>
                <w:noProof/>
                <w:webHidden/>
              </w:rPr>
              <w:fldChar w:fldCharType="end"/>
            </w:r>
          </w:hyperlink>
        </w:p>
        <w:p w:rsidR="00A43E3E" w:rsidRDefault="0052549E">
          <w:pPr>
            <w:pStyle w:val="Sadraj3"/>
            <w:tabs>
              <w:tab w:val="right" w:leader="dot" w:pos="9062"/>
            </w:tabs>
            <w:rPr>
              <w:rFonts w:asciiTheme="minorHAnsi" w:eastAsiaTheme="minorEastAsia" w:hAnsiTheme="minorHAnsi" w:cstheme="minorBidi"/>
              <w:noProof/>
              <w:sz w:val="22"/>
              <w:szCs w:val="22"/>
              <w:lang w:val="hr-HR" w:eastAsia="hr-HR"/>
            </w:rPr>
          </w:pPr>
          <w:hyperlink w:anchor="_Toc381547537" w:history="1">
            <w:r w:rsidR="00A43E3E" w:rsidRPr="008E1291">
              <w:rPr>
                <w:rStyle w:val="Hiperveza"/>
                <w:rFonts w:eastAsiaTheme="majorEastAsia"/>
                <w:noProof/>
                <w:lang w:val="hr-HR"/>
              </w:rPr>
              <w:t>Cilj od javnog interesa i ‘</w:t>
            </w:r>
            <w:r w:rsidR="00A43E3E" w:rsidRPr="008E1291">
              <w:rPr>
                <w:rStyle w:val="Hiperveza"/>
                <w:rFonts w:eastAsiaTheme="majorEastAsia"/>
                <w:i/>
                <w:noProof/>
                <w:lang w:val="hr-HR"/>
              </w:rPr>
              <w:t>Wouters pravilo’</w:t>
            </w:r>
            <w:r w:rsidR="00A43E3E">
              <w:rPr>
                <w:noProof/>
                <w:webHidden/>
              </w:rPr>
              <w:tab/>
            </w:r>
            <w:r w:rsidR="00A43E3E">
              <w:rPr>
                <w:noProof/>
                <w:webHidden/>
              </w:rPr>
              <w:fldChar w:fldCharType="begin"/>
            </w:r>
            <w:r w:rsidR="00A43E3E">
              <w:rPr>
                <w:noProof/>
                <w:webHidden/>
              </w:rPr>
              <w:instrText xml:space="preserve"> PAGEREF _Toc381547537 \h </w:instrText>
            </w:r>
            <w:r w:rsidR="00A43E3E">
              <w:rPr>
                <w:noProof/>
                <w:webHidden/>
              </w:rPr>
            </w:r>
            <w:r w:rsidR="00A43E3E">
              <w:rPr>
                <w:noProof/>
                <w:webHidden/>
              </w:rPr>
              <w:fldChar w:fldCharType="separate"/>
            </w:r>
            <w:r w:rsidR="00746C3D">
              <w:rPr>
                <w:noProof/>
                <w:webHidden/>
              </w:rPr>
              <w:t>26</w:t>
            </w:r>
            <w:r w:rsidR="00A43E3E">
              <w:rPr>
                <w:noProof/>
                <w:webHidden/>
              </w:rPr>
              <w:fldChar w:fldCharType="end"/>
            </w:r>
          </w:hyperlink>
        </w:p>
        <w:p w:rsidR="00A43E3E" w:rsidRDefault="0052549E">
          <w:pPr>
            <w:pStyle w:val="Sadraj1"/>
            <w:tabs>
              <w:tab w:val="left" w:pos="660"/>
              <w:tab w:val="right" w:leader="dot" w:pos="9062"/>
            </w:tabs>
            <w:rPr>
              <w:rFonts w:asciiTheme="minorHAnsi" w:eastAsiaTheme="minorEastAsia" w:hAnsiTheme="minorHAnsi" w:cstheme="minorBidi"/>
              <w:noProof/>
              <w:sz w:val="22"/>
              <w:szCs w:val="22"/>
              <w:lang w:val="hr-HR" w:eastAsia="hr-HR"/>
            </w:rPr>
          </w:pPr>
          <w:hyperlink w:anchor="_Toc381547538" w:history="1">
            <w:r w:rsidR="00A43E3E" w:rsidRPr="008E1291">
              <w:rPr>
                <w:rStyle w:val="Hiperveza"/>
                <w:rFonts w:eastAsiaTheme="majorEastAsia"/>
                <w:noProof/>
                <w:lang w:val="hr-HR"/>
              </w:rPr>
              <w:t>VI.</w:t>
            </w:r>
            <w:r w:rsidR="00A43E3E">
              <w:rPr>
                <w:rFonts w:asciiTheme="minorHAnsi" w:eastAsiaTheme="minorEastAsia" w:hAnsiTheme="minorHAnsi" w:cstheme="minorBidi"/>
                <w:noProof/>
                <w:sz w:val="22"/>
                <w:szCs w:val="22"/>
                <w:lang w:val="hr-HR" w:eastAsia="hr-HR"/>
              </w:rPr>
              <w:tab/>
            </w:r>
            <w:r w:rsidR="00A43E3E" w:rsidRPr="008E1291">
              <w:rPr>
                <w:rStyle w:val="Hiperveza"/>
                <w:rFonts w:eastAsiaTheme="majorEastAsia"/>
                <w:noProof/>
                <w:lang w:val="hr-HR"/>
              </w:rPr>
              <w:t>Proširenje kategorije ograničenja prema cilju</w:t>
            </w:r>
            <w:r w:rsidR="00A43E3E">
              <w:rPr>
                <w:noProof/>
                <w:webHidden/>
              </w:rPr>
              <w:tab/>
            </w:r>
            <w:r w:rsidR="00A43E3E">
              <w:rPr>
                <w:noProof/>
                <w:webHidden/>
              </w:rPr>
              <w:fldChar w:fldCharType="begin"/>
            </w:r>
            <w:r w:rsidR="00A43E3E">
              <w:rPr>
                <w:noProof/>
                <w:webHidden/>
              </w:rPr>
              <w:instrText xml:space="preserve"> PAGEREF _Toc381547538 \h </w:instrText>
            </w:r>
            <w:r w:rsidR="00A43E3E">
              <w:rPr>
                <w:noProof/>
                <w:webHidden/>
              </w:rPr>
            </w:r>
            <w:r w:rsidR="00A43E3E">
              <w:rPr>
                <w:noProof/>
                <w:webHidden/>
              </w:rPr>
              <w:fldChar w:fldCharType="separate"/>
            </w:r>
            <w:r w:rsidR="00746C3D">
              <w:rPr>
                <w:noProof/>
                <w:webHidden/>
              </w:rPr>
              <w:t>37</w:t>
            </w:r>
            <w:r w:rsidR="00A43E3E">
              <w:rPr>
                <w:noProof/>
                <w:webHidden/>
              </w:rPr>
              <w:fldChar w:fldCharType="end"/>
            </w:r>
          </w:hyperlink>
        </w:p>
        <w:p w:rsidR="00A43E3E" w:rsidRDefault="0052549E">
          <w:pPr>
            <w:pStyle w:val="Sadraj2"/>
            <w:tabs>
              <w:tab w:val="right" w:leader="dot" w:pos="9062"/>
            </w:tabs>
            <w:rPr>
              <w:rFonts w:asciiTheme="minorHAnsi" w:eastAsiaTheme="minorEastAsia" w:hAnsiTheme="minorHAnsi" w:cstheme="minorBidi"/>
              <w:noProof/>
              <w:sz w:val="22"/>
              <w:szCs w:val="22"/>
              <w:lang w:val="hr-HR" w:eastAsia="hr-HR"/>
            </w:rPr>
          </w:pPr>
          <w:hyperlink w:anchor="_Toc381547539" w:history="1">
            <w:r w:rsidR="00A43E3E" w:rsidRPr="008E1291">
              <w:rPr>
                <w:rStyle w:val="Hiperveza"/>
                <w:rFonts w:eastAsiaTheme="majorEastAsia"/>
                <w:noProof/>
                <w:lang w:val="hr-HR"/>
              </w:rPr>
              <w:t>Allianz Hungaria</w:t>
            </w:r>
            <w:r w:rsidR="00A43E3E">
              <w:rPr>
                <w:noProof/>
                <w:webHidden/>
              </w:rPr>
              <w:tab/>
            </w:r>
            <w:r w:rsidR="00A43E3E">
              <w:rPr>
                <w:noProof/>
                <w:webHidden/>
              </w:rPr>
              <w:fldChar w:fldCharType="begin"/>
            </w:r>
            <w:r w:rsidR="00A43E3E">
              <w:rPr>
                <w:noProof/>
                <w:webHidden/>
              </w:rPr>
              <w:instrText xml:space="preserve"> PAGEREF _Toc381547539 \h </w:instrText>
            </w:r>
            <w:r w:rsidR="00A43E3E">
              <w:rPr>
                <w:noProof/>
                <w:webHidden/>
              </w:rPr>
            </w:r>
            <w:r w:rsidR="00A43E3E">
              <w:rPr>
                <w:noProof/>
                <w:webHidden/>
              </w:rPr>
              <w:fldChar w:fldCharType="separate"/>
            </w:r>
            <w:r w:rsidR="00746C3D">
              <w:rPr>
                <w:noProof/>
                <w:webHidden/>
              </w:rPr>
              <w:t>38</w:t>
            </w:r>
            <w:r w:rsidR="00A43E3E">
              <w:rPr>
                <w:noProof/>
                <w:webHidden/>
              </w:rPr>
              <w:fldChar w:fldCharType="end"/>
            </w:r>
          </w:hyperlink>
        </w:p>
        <w:p w:rsidR="00A43E3E" w:rsidRDefault="0052549E">
          <w:pPr>
            <w:pStyle w:val="Sadraj2"/>
            <w:tabs>
              <w:tab w:val="right" w:leader="dot" w:pos="9062"/>
            </w:tabs>
            <w:rPr>
              <w:rFonts w:asciiTheme="minorHAnsi" w:eastAsiaTheme="minorEastAsia" w:hAnsiTheme="minorHAnsi" w:cstheme="minorBidi"/>
              <w:noProof/>
              <w:sz w:val="22"/>
              <w:szCs w:val="22"/>
              <w:lang w:val="hr-HR" w:eastAsia="hr-HR"/>
            </w:rPr>
          </w:pPr>
          <w:hyperlink w:anchor="_Toc381547540" w:history="1">
            <w:r w:rsidR="00A43E3E" w:rsidRPr="008E1291">
              <w:rPr>
                <w:rStyle w:val="Hiperveza"/>
                <w:rFonts w:eastAsiaTheme="majorEastAsia"/>
                <w:noProof/>
                <w:lang w:val="hr-HR"/>
              </w:rPr>
              <w:t>Cilj i Učinak: Dihotomija ili kontinuum</w:t>
            </w:r>
            <w:r w:rsidR="00A43E3E">
              <w:rPr>
                <w:noProof/>
                <w:webHidden/>
              </w:rPr>
              <w:tab/>
            </w:r>
            <w:r w:rsidR="00A43E3E">
              <w:rPr>
                <w:noProof/>
                <w:webHidden/>
              </w:rPr>
              <w:fldChar w:fldCharType="begin"/>
            </w:r>
            <w:r w:rsidR="00A43E3E">
              <w:rPr>
                <w:noProof/>
                <w:webHidden/>
              </w:rPr>
              <w:instrText xml:space="preserve"> PAGEREF _Toc381547540 \h </w:instrText>
            </w:r>
            <w:r w:rsidR="00A43E3E">
              <w:rPr>
                <w:noProof/>
                <w:webHidden/>
              </w:rPr>
            </w:r>
            <w:r w:rsidR="00A43E3E">
              <w:rPr>
                <w:noProof/>
                <w:webHidden/>
              </w:rPr>
              <w:fldChar w:fldCharType="separate"/>
            </w:r>
            <w:r w:rsidR="00746C3D">
              <w:rPr>
                <w:noProof/>
                <w:webHidden/>
              </w:rPr>
              <w:t>41</w:t>
            </w:r>
            <w:r w:rsidR="00A43E3E">
              <w:rPr>
                <w:noProof/>
                <w:webHidden/>
              </w:rPr>
              <w:fldChar w:fldCharType="end"/>
            </w:r>
          </w:hyperlink>
        </w:p>
        <w:p w:rsidR="00A43E3E" w:rsidRDefault="0052549E">
          <w:pPr>
            <w:pStyle w:val="Sadraj1"/>
            <w:tabs>
              <w:tab w:val="right" w:leader="dot" w:pos="9062"/>
            </w:tabs>
            <w:rPr>
              <w:rFonts w:asciiTheme="minorHAnsi" w:eastAsiaTheme="minorEastAsia" w:hAnsiTheme="minorHAnsi" w:cstheme="minorBidi"/>
              <w:noProof/>
              <w:sz w:val="22"/>
              <w:szCs w:val="22"/>
              <w:lang w:val="hr-HR" w:eastAsia="hr-HR"/>
            </w:rPr>
          </w:pPr>
          <w:hyperlink w:anchor="_Toc381547541" w:history="1">
            <w:r w:rsidR="00A43E3E" w:rsidRPr="008E1291">
              <w:rPr>
                <w:rStyle w:val="Hiperveza"/>
                <w:rFonts w:eastAsiaTheme="majorEastAsia"/>
                <w:noProof/>
                <w:lang w:val="hr-HR"/>
              </w:rPr>
              <w:t>Dihotomija cilj/učinak – samo akademsko pitanje?</w:t>
            </w:r>
            <w:r w:rsidR="00A43E3E">
              <w:rPr>
                <w:noProof/>
                <w:webHidden/>
              </w:rPr>
              <w:tab/>
            </w:r>
            <w:r w:rsidR="00A43E3E">
              <w:rPr>
                <w:noProof/>
                <w:webHidden/>
              </w:rPr>
              <w:fldChar w:fldCharType="begin"/>
            </w:r>
            <w:r w:rsidR="00A43E3E">
              <w:rPr>
                <w:noProof/>
                <w:webHidden/>
              </w:rPr>
              <w:instrText xml:space="preserve"> PAGEREF _Toc381547541 \h </w:instrText>
            </w:r>
            <w:r w:rsidR="00A43E3E">
              <w:rPr>
                <w:noProof/>
                <w:webHidden/>
              </w:rPr>
            </w:r>
            <w:r w:rsidR="00A43E3E">
              <w:rPr>
                <w:noProof/>
                <w:webHidden/>
              </w:rPr>
              <w:fldChar w:fldCharType="separate"/>
            </w:r>
            <w:r w:rsidR="00746C3D">
              <w:rPr>
                <w:noProof/>
                <w:webHidden/>
              </w:rPr>
              <w:t>43</w:t>
            </w:r>
            <w:r w:rsidR="00A43E3E">
              <w:rPr>
                <w:noProof/>
                <w:webHidden/>
              </w:rPr>
              <w:fldChar w:fldCharType="end"/>
            </w:r>
          </w:hyperlink>
        </w:p>
        <w:p w:rsidR="00A43E3E" w:rsidRDefault="0052549E">
          <w:pPr>
            <w:pStyle w:val="Sadraj2"/>
            <w:tabs>
              <w:tab w:val="right" w:leader="dot" w:pos="9062"/>
            </w:tabs>
            <w:rPr>
              <w:rFonts w:asciiTheme="minorHAnsi" w:eastAsiaTheme="minorEastAsia" w:hAnsiTheme="minorHAnsi" w:cstheme="minorBidi"/>
              <w:noProof/>
              <w:sz w:val="22"/>
              <w:szCs w:val="22"/>
              <w:lang w:val="hr-HR" w:eastAsia="hr-HR"/>
            </w:rPr>
          </w:pPr>
          <w:hyperlink w:anchor="_Toc381547542" w:history="1">
            <w:r w:rsidR="00A43E3E" w:rsidRPr="008E1291">
              <w:rPr>
                <w:rStyle w:val="Hiperveza"/>
                <w:rFonts w:eastAsiaTheme="majorEastAsia"/>
                <w:noProof/>
                <w:lang w:val="hr-HR"/>
              </w:rPr>
              <w:t>Članak 101(3)</w:t>
            </w:r>
            <w:r w:rsidR="00A43E3E">
              <w:rPr>
                <w:noProof/>
                <w:webHidden/>
              </w:rPr>
              <w:tab/>
            </w:r>
            <w:r w:rsidR="00A43E3E">
              <w:rPr>
                <w:noProof/>
                <w:webHidden/>
              </w:rPr>
              <w:fldChar w:fldCharType="begin"/>
            </w:r>
            <w:r w:rsidR="00A43E3E">
              <w:rPr>
                <w:noProof/>
                <w:webHidden/>
              </w:rPr>
              <w:instrText xml:space="preserve"> PAGEREF _Toc381547542 \h </w:instrText>
            </w:r>
            <w:r w:rsidR="00A43E3E">
              <w:rPr>
                <w:noProof/>
                <w:webHidden/>
              </w:rPr>
            </w:r>
            <w:r w:rsidR="00A43E3E">
              <w:rPr>
                <w:noProof/>
                <w:webHidden/>
              </w:rPr>
              <w:fldChar w:fldCharType="separate"/>
            </w:r>
            <w:r w:rsidR="00746C3D">
              <w:rPr>
                <w:noProof/>
                <w:webHidden/>
              </w:rPr>
              <w:t>45</w:t>
            </w:r>
            <w:r w:rsidR="00A43E3E">
              <w:rPr>
                <w:noProof/>
                <w:webHidden/>
              </w:rPr>
              <w:fldChar w:fldCharType="end"/>
            </w:r>
          </w:hyperlink>
        </w:p>
        <w:p w:rsidR="00A43E3E" w:rsidRDefault="0052549E">
          <w:pPr>
            <w:pStyle w:val="Sadraj3"/>
            <w:tabs>
              <w:tab w:val="right" w:leader="dot" w:pos="9062"/>
            </w:tabs>
            <w:rPr>
              <w:rFonts w:asciiTheme="minorHAnsi" w:eastAsiaTheme="minorEastAsia" w:hAnsiTheme="minorHAnsi" w:cstheme="minorBidi"/>
              <w:noProof/>
              <w:sz w:val="22"/>
              <w:szCs w:val="22"/>
              <w:lang w:val="hr-HR" w:eastAsia="hr-HR"/>
            </w:rPr>
          </w:pPr>
          <w:hyperlink w:anchor="_Toc381547543" w:history="1">
            <w:r w:rsidR="00A43E3E" w:rsidRPr="008E1291">
              <w:rPr>
                <w:rStyle w:val="Hiperveza"/>
                <w:rFonts w:eastAsiaTheme="majorEastAsia"/>
                <w:noProof/>
                <w:lang w:val="hr-HR"/>
              </w:rPr>
              <w:t>Pravna nesigurnost i procedura</w:t>
            </w:r>
            <w:r w:rsidR="00A43E3E">
              <w:rPr>
                <w:noProof/>
                <w:webHidden/>
              </w:rPr>
              <w:tab/>
            </w:r>
            <w:r w:rsidR="00A43E3E">
              <w:rPr>
                <w:noProof/>
                <w:webHidden/>
              </w:rPr>
              <w:fldChar w:fldCharType="begin"/>
            </w:r>
            <w:r w:rsidR="00A43E3E">
              <w:rPr>
                <w:noProof/>
                <w:webHidden/>
              </w:rPr>
              <w:instrText xml:space="preserve"> PAGEREF _Toc381547543 \h </w:instrText>
            </w:r>
            <w:r w:rsidR="00A43E3E">
              <w:rPr>
                <w:noProof/>
                <w:webHidden/>
              </w:rPr>
            </w:r>
            <w:r w:rsidR="00A43E3E">
              <w:rPr>
                <w:noProof/>
                <w:webHidden/>
              </w:rPr>
              <w:fldChar w:fldCharType="separate"/>
            </w:r>
            <w:r w:rsidR="00746C3D">
              <w:rPr>
                <w:noProof/>
                <w:webHidden/>
              </w:rPr>
              <w:t>46</w:t>
            </w:r>
            <w:r w:rsidR="00A43E3E">
              <w:rPr>
                <w:noProof/>
                <w:webHidden/>
              </w:rPr>
              <w:fldChar w:fldCharType="end"/>
            </w:r>
          </w:hyperlink>
        </w:p>
        <w:p w:rsidR="00A43E3E" w:rsidRDefault="0052549E">
          <w:pPr>
            <w:pStyle w:val="Sadraj1"/>
            <w:tabs>
              <w:tab w:val="left" w:pos="660"/>
              <w:tab w:val="right" w:leader="dot" w:pos="9062"/>
            </w:tabs>
            <w:rPr>
              <w:rFonts w:asciiTheme="minorHAnsi" w:eastAsiaTheme="minorEastAsia" w:hAnsiTheme="minorHAnsi" w:cstheme="minorBidi"/>
              <w:noProof/>
              <w:sz w:val="22"/>
              <w:szCs w:val="22"/>
              <w:lang w:val="hr-HR" w:eastAsia="hr-HR"/>
            </w:rPr>
          </w:pPr>
          <w:hyperlink w:anchor="_Toc381547544" w:history="1">
            <w:r w:rsidR="00A43E3E" w:rsidRPr="008E1291">
              <w:rPr>
                <w:rStyle w:val="Hiperveza"/>
                <w:rFonts w:eastAsiaTheme="majorEastAsia"/>
                <w:noProof/>
                <w:lang w:val="hr-HR"/>
              </w:rPr>
              <w:t>VII.</w:t>
            </w:r>
            <w:r w:rsidR="00A43E3E">
              <w:rPr>
                <w:rFonts w:asciiTheme="minorHAnsi" w:eastAsiaTheme="minorEastAsia" w:hAnsiTheme="minorHAnsi" w:cstheme="minorBidi"/>
                <w:noProof/>
                <w:sz w:val="22"/>
                <w:szCs w:val="22"/>
                <w:lang w:val="hr-HR" w:eastAsia="hr-HR"/>
              </w:rPr>
              <w:tab/>
            </w:r>
            <w:r w:rsidR="00A43E3E" w:rsidRPr="008E1291">
              <w:rPr>
                <w:rStyle w:val="Hiperveza"/>
                <w:rFonts w:eastAsiaTheme="majorEastAsia"/>
                <w:noProof/>
                <w:lang w:val="hr-HR"/>
              </w:rPr>
              <w:t>Zaključak</w:t>
            </w:r>
            <w:r w:rsidR="00A43E3E">
              <w:rPr>
                <w:noProof/>
                <w:webHidden/>
              </w:rPr>
              <w:tab/>
            </w:r>
            <w:r w:rsidR="00A43E3E">
              <w:rPr>
                <w:noProof/>
                <w:webHidden/>
              </w:rPr>
              <w:fldChar w:fldCharType="begin"/>
            </w:r>
            <w:r w:rsidR="00A43E3E">
              <w:rPr>
                <w:noProof/>
                <w:webHidden/>
              </w:rPr>
              <w:instrText xml:space="preserve"> PAGEREF _Toc381547544 \h </w:instrText>
            </w:r>
            <w:r w:rsidR="00A43E3E">
              <w:rPr>
                <w:noProof/>
                <w:webHidden/>
              </w:rPr>
            </w:r>
            <w:r w:rsidR="00A43E3E">
              <w:rPr>
                <w:noProof/>
                <w:webHidden/>
              </w:rPr>
              <w:fldChar w:fldCharType="separate"/>
            </w:r>
            <w:r w:rsidR="00746C3D">
              <w:rPr>
                <w:noProof/>
                <w:webHidden/>
              </w:rPr>
              <w:t>49</w:t>
            </w:r>
            <w:r w:rsidR="00A43E3E">
              <w:rPr>
                <w:noProof/>
                <w:webHidden/>
              </w:rPr>
              <w:fldChar w:fldCharType="end"/>
            </w:r>
          </w:hyperlink>
        </w:p>
        <w:p w:rsidR="00A43E3E" w:rsidRDefault="0052549E">
          <w:pPr>
            <w:pStyle w:val="Sadraj1"/>
            <w:tabs>
              <w:tab w:val="left" w:pos="880"/>
              <w:tab w:val="right" w:leader="dot" w:pos="9062"/>
            </w:tabs>
            <w:rPr>
              <w:rFonts w:asciiTheme="minorHAnsi" w:eastAsiaTheme="minorEastAsia" w:hAnsiTheme="minorHAnsi" w:cstheme="minorBidi"/>
              <w:noProof/>
              <w:sz w:val="22"/>
              <w:szCs w:val="22"/>
              <w:lang w:val="hr-HR" w:eastAsia="hr-HR"/>
            </w:rPr>
          </w:pPr>
          <w:hyperlink w:anchor="_Toc381547545" w:history="1">
            <w:r w:rsidR="00A43E3E" w:rsidRPr="008E1291">
              <w:rPr>
                <w:rStyle w:val="Hiperveza"/>
                <w:rFonts w:eastAsiaTheme="majorEastAsia"/>
                <w:noProof/>
                <w:lang w:val="hr-HR"/>
              </w:rPr>
              <w:t>VIII.</w:t>
            </w:r>
            <w:r w:rsidR="00A43E3E">
              <w:rPr>
                <w:rFonts w:asciiTheme="minorHAnsi" w:eastAsiaTheme="minorEastAsia" w:hAnsiTheme="minorHAnsi" w:cstheme="minorBidi"/>
                <w:noProof/>
                <w:sz w:val="22"/>
                <w:szCs w:val="22"/>
                <w:lang w:val="hr-HR" w:eastAsia="hr-HR"/>
              </w:rPr>
              <w:tab/>
            </w:r>
            <w:r w:rsidR="00A43E3E" w:rsidRPr="008E1291">
              <w:rPr>
                <w:rStyle w:val="Hiperveza"/>
                <w:rFonts w:eastAsiaTheme="majorEastAsia"/>
                <w:noProof/>
                <w:lang w:val="hr-HR"/>
              </w:rPr>
              <w:t>Literatura:</w:t>
            </w:r>
            <w:r w:rsidR="00A43E3E">
              <w:rPr>
                <w:noProof/>
                <w:webHidden/>
              </w:rPr>
              <w:tab/>
            </w:r>
            <w:r w:rsidR="00A43E3E">
              <w:rPr>
                <w:noProof/>
                <w:webHidden/>
              </w:rPr>
              <w:fldChar w:fldCharType="begin"/>
            </w:r>
            <w:r w:rsidR="00A43E3E">
              <w:rPr>
                <w:noProof/>
                <w:webHidden/>
              </w:rPr>
              <w:instrText xml:space="preserve"> PAGEREF _Toc381547545 \h </w:instrText>
            </w:r>
            <w:r w:rsidR="00A43E3E">
              <w:rPr>
                <w:noProof/>
                <w:webHidden/>
              </w:rPr>
            </w:r>
            <w:r w:rsidR="00A43E3E">
              <w:rPr>
                <w:noProof/>
                <w:webHidden/>
              </w:rPr>
              <w:fldChar w:fldCharType="separate"/>
            </w:r>
            <w:r w:rsidR="00746C3D">
              <w:rPr>
                <w:noProof/>
                <w:webHidden/>
              </w:rPr>
              <w:t>52</w:t>
            </w:r>
            <w:r w:rsidR="00A43E3E">
              <w:rPr>
                <w:noProof/>
                <w:webHidden/>
              </w:rPr>
              <w:fldChar w:fldCharType="end"/>
            </w:r>
          </w:hyperlink>
        </w:p>
        <w:p w:rsidR="000E5E47" w:rsidRPr="008C78FC" w:rsidRDefault="00D070EE" w:rsidP="005661C1">
          <w:pPr>
            <w:spacing w:line="480" w:lineRule="auto"/>
            <w:rPr>
              <w:szCs w:val="24"/>
              <w:lang w:val="hr-HR"/>
            </w:rPr>
          </w:pPr>
          <w:r w:rsidRPr="008C78FC">
            <w:rPr>
              <w:b/>
              <w:bCs/>
              <w:szCs w:val="24"/>
              <w:lang w:val="hr-HR"/>
            </w:rPr>
            <w:fldChar w:fldCharType="end"/>
          </w:r>
        </w:p>
      </w:sdtContent>
    </w:sdt>
    <w:p w:rsidR="00F94F7B" w:rsidRPr="008C78FC" w:rsidRDefault="00F94F7B" w:rsidP="005661C1">
      <w:pPr>
        <w:spacing w:line="480" w:lineRule="auto"/>
        <w:rPr>
          <w:rFonts w:eastAsiaTheme="majorEastAsia"/>
          <w:color w:val="17365D" w:themeColor="text2" w:themeShade="BF"/>
          <w:spacing w:val="5"/>
          <w:kern w:val="28"/>
          <w:szCs w:val="24"/>
          <w:lang w:val="hr-HR"/>
        </w:rPr>
      </w:pPr>
    </w:p>
    <w:p w:rsidR="000E5E47" w:rsidRPr="008C78FC" w:rsidRDefault="000E5E47" w:rsidP="005661C1">
      <w:pPr>
        <w:spacing w:line="480" w:lineRule="auto"/>
        <w:rPr>
          <w:rFonts w:eastAsiaTheme="majorEastAsia"/>
          <w:color w:val="17365D" w:themeColor="text2" w:themeShade="BF"/>
          <w:spacing w:val="5"/>
          <w:kern w:val="28"/>
          <w:szCs w:val="24"/>
          <w:lang w:val="hr-HR"/>
        </w:rPr>
      </w:pPr>
      <w:r w:rsidRPr="008C78FC">
        <w:rPr>
          <w:szCs w:val="24"/>
          <w:lang w:val="hr-HR"/>
        </w:rPr>
        <w:br w:type="page"/>
      </w:r>
    </w:p>
    <w:p w:rsidR="005661C1" w:rsidRPr="008C78FC" w:rsidRDefault="005661C1" w:rsidP="00070DE3">
      <w:pPr>
        <w:pStyle w:val="Naslov1"/>
        <w:numPr>
          <w:ilvl w:val="0"/>
          <w:numId w:val="9"/>
        </w:numPr>
        <w:rPr>
          <w:rFonts w:ascii="Times New Roman" w:hAnsi="Times New Roman" w:cs="Times New Roman"/>
          <w:lang w:val="hr-HR"/>
        </w:rPr>
      </w:pPr>
      <w:bookmarkStart w:id="0" w:name="_Toc381547524"/>
      <w:r w:rsidRPr="008C78FC">
        <w:rPr>
          <w:rFonts w:ascii="Times New Roman" w:hAnsi="Times New Roman" w:cs="Times New Roman"/>
          <w:lang w:val="hr-HR"/>
        </w:rPr>
        <w:lastRenderedPageBreak/>
        <w:t>Uvod</w:t>
      </w:r>
      <w:bookmarkEnd w:id="0"/>
    </w:p>
    <w:p w:rsidR="00072198" w:rsidRPr="008C78FC" w:rsidRDefault="00072198" w:rsidP="002857AD">
      <w:pPr>
        <w:spacing w:line="480" w:lineRule="auto"/>
        <w:rPr>
          <w:szCs w:val="24"/>
          <w:lang w:val="hr-HR"/>
        </w:rPr>
      </w:pPr>
    </w:p>
    <w:p w:rsidR="00795D08" w:rsidRPr="008C78FC" w:rsidRDefault="000F176E" w:rsidP="00795D08">
      <w:pPr>
        <w:spacing w:line="480" w:lineRule="auto"/>
        <w:ind w:firstLine="360"/>
        <w:rPr>
          <w:szCs w:val="24"/>
          <w:lang w:val="hr-HR"/>
        </w:rPr>
      </w:pPr>
      <w:r w:rsidRPr="008C78FC">
        <w:rPr>
          <w:szCs w:val="24"/>
          <w:lang w:val="hr-HR"/>
        </w:rPr>
        <w:t>Europska Unija se temelji na vrijednostima slobodnog tržišta</w:t>
      </w:r>
      <w:r w:rsidR="00217ECD" w:rsidRPr="008C78FC">
        <w:rPr>
          <w:szCs w:val="24"/>
          <w:lang w:val="hr-HR"/>
        </w:rPr>
        <w:t xml:space="preserve"> te je stoga p</w:t>
      </w:r>
      <w:r w:rsidR="00795D08" w:rsidRPr="008C78FC">
        <w:rPr>
          <w:szCs w:val="24"/>
          <w:lang w:val="hr-HR"/>
        </w:rPr>
        <w:t xml:space="preserve">ravo tržišnog natjecanja je oduvijek igralo važnu </w:t>
      </w:r>
      <w:r w:rsidR="00217ECD" w:rsidRPr="008C78FC">
        <w:rPr>
          <w:szCs w:val="24"/>
          <w:lang w:val="hr-HR"/>
        </w:rPr>
        <w:t>ulogu. S obzirom da se pravilima regulira ponajprije aktivnost privatnih aktera</w:t>
      </w:r>
      <w:r w:rsidR="00217ECD" w:rsidRPr="008C78FC">
        <w:rPr>
          <w:rStyle w:val="Referencafusnote"/>
          <w:szCs w:val="24"/>
          <w:lang w:val="hr-HR"/>
        </w:rPr>
        <w:footnoteReference w:id="1"/>
      </w:r>
      <w:r w:rsidR="00217ECD" w:rsidRPr="008C78FC">
        <w:rPr>
          <w:szCs w:val="24"/>
          <w:lang w:val="hr-HR"/>
        </w:rPr>
        <w:t xml:space="preserve"> te</w:t>
      </w:r>
      <w:r w:rsidR="00795D08" w:rsidRPr="008C78FC">
        <w:rPr>
          <w:szCs w:val="24"/>
          <w:lang w:val="hr-HR"/>
        </w:rPr>
        <w:t xml:space="preserve"> brojnost odluka institucija </w:t>
      </w:r>
      <w:r w:rsidR="00217ECD" w:rsidRPr="008C78FC">
        <w:rPr>
          <w:szCs w:val="24"/>
          <w:lang w:val="hr-HR"/>
        </w:rPr>
        <w:t xml:space="preserve">Unije </w:t>
      </w:r>
      <w:r w:rsidR="00795D08" w:rsidRPr="008C78FC">
        <w:rPr>
          <w:szCs w:val="24"/>
          <w:lang w:val="hr-HR"/>
        </w:rPr>
        <w:t>na ovom području</w:t>
      </w:r>
      <w:r w:rsidR="00217ECD" w:rsidRPr="008C78FC">
        <w:rPr>
          <w:szCs w:val="24"/>
          <w:lang w:val="hr-HR"/>
        </w:rPr>
        <w:t>, pravo tržišnog natjecanja je imalo</w:t>
      </w:r>
      <w:r w:rsidR="00795D08" w:rsidRPr="008C78FC">
        <w:rPr>
          <w:szCs w:val="24"/>
          <w:lang w:val="hr-HR"/>
        </w:rPr>
        <w:t xml:space="preserve"> značaj </w:t>
      </w:r>
      <w:r w:rsidR="00E4642C" w:rsidRPr="008C78FC">
        <w:rPr>
          <w:szCs w:val="24"/>
          <w:lang w:val="hr-HR"/>
        </w:rPr>
        <w:t>‘</w:t>
      </w:r>
      <w:proofErr w:type="spellStart"/>
      <w:r w:rsidR="00795D08" w:rsidRPr="008C78FC">
        <w:rPr>
          <w:i/>
          <w:szCs w:val="24"/>
          <w:lang w:val="hr-HR"/>
        </w:rPr>
        <w:t>rock</w:t>
      </w:r>
      <w:proofErr w:type="spellEnd"/>
      <w:r w:rsidR="00795D08" w:rsidRPr="008C78FC">
        <w:rPr>
          <w:i/>
          <w:szCs w:val="24"/>
          <w:lang w:val="hr-HR"/>
        </w:rPr>
        <w:t xml:space="preserve"> zvijezde europske normativ</w:t>
      </w:r>
      <w:r w:rsidR="00E4642C" w:rsidRPr="008C78FC">
        <w:rPr>
          <w:i/>
          <w:szCs w:val="24"/>
          <w:lang w:val="hr-HR"/>
        </w:rPr>
        <w:t>e’</w:t>
      </w:r>
      <w:r w:rsidR="00795D08" w:rsidRPr="008C78FC">
        <w:rPr>
          <w:i/>
          <w:szCs w:val="24"/>
          <w:lang w:val="hr-HR"/>
        </w:rPr>
        <w:t xml:space="preserve">. </w:t>
      </w:r>
      <w:r w:rsidR="002857AD" w:rsidRPr="008C78FC">
        <w:rPr>
          <w:szCs w:val="24"/>
          <w:lang w:val="hr-HR"/>
        </w:rPr>
        <w:t>Već je Rimski Ugovor o Osnivanju Europske Ekonomske</w:t>
      </w:r>
      <w:r w:rsidR="00250117" w:rsidRPr="008C78FC">
        <w:rPr>
          <w:szCs w:val="24"/>
          <w:lang w:val="hr-HR"/>
        </w:rPr>
        <w:t xml:space="preserve"> zajednice sadržao supstancijaln</w:t>
      </w:r>
      <w:r w:rsidR="002857AD" w:rsidRPr="008C78FC">
        <w:rPr>
          <w:szCs w:val="24"/>
          <w:lang w:val="hr-HR"/>
        </w:rPr>
        <w:t>a pravila o zaštiti tržišnog natjecanja</w:t>
      </w:r>
      <w:r w:rsidR="00795D08" w:rsidRPr="008C78FC">
        <w:rPr>
          <w:rStyle w:val="Referencafusnote"/>
          <w:szCs w:val="24"/>
          <w:lang w:val="hr-HR"/>
        </w:rPr>
        <w:footnoteReference w:id="2"/>
      </w:r>
      <w:r w:rsidR="002857AD" w:rsidRPr="008C78FC">
        <w:rPr>
          <w:szCs w:val="24"/>
          <w:lang w:val="hr-HR"/>
        </w:rPr>
        <w:t>. Iako su se temeljni ugovori mijenjali, pravila tržišnog natjecanja su u svom sadrž</w:t>
      </w:r>
      <w:r w:rsidRPr="008C78FC">
        <w:rPr>
          <w:szCs w:val="24"/>
          <w:lang w:val="hr-HR"/>
        </w:rPr>
        <w:t xml:space="preserve">aju ostala ista svih ovih </w:t>
      </w:r>
      <w:r w:rsidR="002857AD" w:rsidRPr="008C78FC">
        <w:rPr>
          <w:szCs w:val="24"/>
          <w:lang w:val="hr-HR"/>
        </w:rPr>
        <w:t xml:space="preserve">godina. </w:t>
      </w:r>
      <w:r w:rsidR="00795D08" w:rsidRPr="008C78FC">
        <w:rPr>
          <w:szCs w:val="24"/>
          <w:lang w:val="hr-HR"/>
        </w:rPr>
        <w:t>Supstancijalno govoreći, p</w:t>
      </w:r>
      <w:r w:rsidR="00C01B87" w:rsidRPr="008C78FC">
        <w:rPr>
          <w:szCs w:val="24"/>
          <w:lang w:val="hr-HR"/>
        </w:rPr>
        <w:t xml:space="preserve">ravo tržišnog natjecanja možemo podijeliti u nekoliko kategorija: zabranjeni sporazumi, </w:t>
      </w:r>
      <w:r w:rsidR="00B0158D" w:rsidRPr="008C78FC">
        <w:rPr>
          <w:szCs w:val="24"/>
          <w:lang w:val="hr-HR"/>
        </w:rPr>
        <w:t>zlouporaba</w:t>
      </w:r>
      <w:r w:rsidR="001E3100">
        <w:rPr>
          <w:szCs w:val="24"/>
          <w:lang w:val="hr-HR"/>
        </w:rPr>
        <w:t xml:space="preserve"> </w:t>
      </w:r>
      <w:r w:rsidR="00B0158D" w:rsidRPr="008C78FC">
        <w:rPr>
          <w:szCs w:val="24"/>
          <w:lang w:val="hr-HR"/>
        </w:rPr>
        <w:t>dominantnog</w:t>
      </w:r>
      <w:r w:rsidR="00C01B87" w:rsidRPr="008C78FC">
        <w:rPr>
          <w:szCs w:val="24"/>
          <w:lang w:val="hr-HR"/>
        </w:rPr>
        <w:t xml:space="preserve"> položaja, državne potpore. U ovom radu se promatra problematika zabranjenih sporazuma.</w:t>
      </w:r>
    </w:p>
    <w:p w:rsidR="00217ECD" w:rsidRPr="008C78FC" w:rsidRDefault="00767D1C" w:rsidP="00E4642C">
      <w:pPr>
        <w:spacing w:line="480" w:lineRule="auto"/>
        <w:ind w:firstLine="360"/>
        <w:rPr>
          <w:szCs w:val="24"/>
          <w:lang w:val="hr-HR"/>
        </w:rPr>
      </w:pPr>
      <w:r w:rsidRPr="008C78FC">
        <w:rPr>
          <w:szCs w:val="24"/>
          <w:lang w:val="hr-HR"/>
        </w:rPr>
        <w:t>Suradnja među poduzetnicima na tržištu može biti vrlo opasna za funkcioniranje tržišnog  natjecanja</w:t>
      </w:r>
      <w:r w:rsidR="00655DCD" w:rsidRPr="008C78FC">
        <w:rPr>
          <w:szCs w:val="24"/>
          <w:lang w:val="hr-HR"/>
        </w:rPr>
        <w:t xml:space="preserve"> je</w:t>
      </w:r>
      <w:r w:rsidRPr="008C78FC">
        <w:rPr>
          <w:szCs w:val="24"/>
          <w:lang w:val="hr-HR"/>
        </w:rPr>
        <w:t xml:space="preserve">r kao što je Adam Smith zamijetio, kada se tržišni takmaci sastaju rezultat razgovora je rijetko u javnom interesu. Stoga je odgovor na pitanje što je ograničenje tržišnog natjecanja od presudne važnosti. U kontekstu zabranjenih sporazuma razlikuju se dva alternativna načina kako bi se utvrdilo da je tržišno natjecanje ograničeno – cilj i učinak sporazuma. </w:t>
      </w:r>
      <w:r w:rsidR="00E4642C" w:rsidRPr="008C78FC">
        <w:rPr>
          <w:szCs w:val="24"/>
          <w:lang w:val="hr-HR"/>
        </w:rPr>
        <w:t xml:space="preserve">Dok je pojam ograničavajućeg učinka sporazuma evolvirao, kriterij ograničavajućeg cilja sporazuma je privukao malo pozornosti i akademske diskusije. Međutim, u </w:t>
      </w:r>
      <w:r w:rsidRPr="008C78FC">
        <w:rPr>
          <w:szCs w:val="24"/>
          <w:lang w:val="hr-HR"/>
        </w:rPr>
        <w:t xml:space="preserve">nizu </w:t>
      </w:r>
      <w:r w:rsidR="001A404A" w:rsidRPr="008C78FC">
        <w:rPr>
          <w:szCs w:val="24"/>
          <w:lang w:val="hr-HR"/>
        </w:rPr>
        <w:t>novih</w:t>
      </w:r>
      <w:r w:rsidR="00217ECD" w:rsidRPr="008C78FC">
        <w:rPr>
          <w:szCs w:val="24"/>
          <w:lang w:val="hr-HR"/>
        </w:rPr>
        <w:t xml:space="preserve"> predmeta pred sudovima Uni</w:t>
      </w:r>
      <w:r w:rsidR="001A404A" w:rsidRPr="008C78FC">
        <w:rPr>
          <w:szCs w:val="24"/>
          <w:lang w:val="hr-HR"/>
        </w:rPr>
        <w:t>je se postavilo pitanje o načinu</w:t>
      </w:r>
      <w:r w:rsidR="00217ECD" w:rsidRPr="008C78FC">
        <w:rPr>
          <w:szCs w:val="24"/>
          <w:lang w:val="hr-HR"/>
        </w:rPr>
        <w:t xml:space="preserve"> tumačenja cilja sporazuma</w:t>
      </w:r>
      <w:r w:rsidRPr="008C78FC">
        <w:rPr>
          <w:rStyle w:val="Referencafusnote"/>
          <w:szCs w:val="24"/>
          <w:lang w:val="hr-HR"/>
        </w:rPr>
        <w:footnoteReference w:id="3"/>
      </w:r>
      <w:r w:rsidR="00217ECD" w:rsidRPr="008C78FC">
        <w:rPr>
          <w:szCs w:val="24"/>
          <w:lang w:val="hr-HR"/>
        </w:rPr>
        <w:t xml:space="preserve">. </w:t>
      </w:r>
      <w:r w:rsidR="001A404A" w:rsidRPr="008C78FC">
        <w:rPr>
          <w:szCs w:val="24"/>
          <w:lang w:val="hr-HR"/>
        </w:rPr>
        <w:t xml:space="preserve">Iako je i Sud Pravde Europske Unije imao prilike dati svoje tumačenje, </w:t>
      </w:r>
      <w:r w:rsidR="001A404A" w:rsidRPr="008C78FC">
        <w:rPr>
          <w:szCs w:val="24"/>
          <w:lang w:val="hr-HR"/>
        </w:rPr>
        <w:lastRenderedPageBreak/>
        <w:t xml:space="preserve">nejasnoće ostaju. Štoviše, zastupa se stajalište da su nove presude otvorile nova pitanja i pridonijele sveukupnoj konfuziji. </w:t>
      </w:r>
    </w:p>
    <w:p w:rsidR="001E3100" w:rsidRDefault="001E3100" w:rsidP="009E7339">
      <w:pPr>
        <w:spacing w:line="480" w:lineRule="auto"/>
        <w:ind w:firstLine="360"/>
        <w:rPr>
          <w:szCs w:val="24"/>
          <w:lang w:val="hr-HR"/>
        </w:rPr>
      </w:pPr>
      <w:r>
        <w:rPr>
          <w:szCs w:val="24"/>
          <w:lang w:val="hr-HR"/>
        </w:rPr>
        <w:t xml:space="preserve">Cilj ovog rada je dati sveobuhvatan pregled kategorije ograničenja po cilju. Polazi se od pretpostavke da je jasno definiranje sadržaja ograničenja po cilju nužno za pravilnu primjenu članaka 101(1) </w:t>
      </w:r>
      <w:proofErr w:type="spellStart"/>
      <w:r>
        <w:rPr>
          <w:szCs w:val="24"/>
          <w:lang w:val="hr-HR"/>
        </w:rPr>
        <w:t>UFEU</w:t>
      </w:r>
      <w:proofErr w:type="spellEnd"/>
      <w:r>
        <w:rPr>
          <w:szCs w:val="24"/>
          <w:lang w:val="hr-HR"/>
        </w:rPr>
        <w:t xml:space="preserve">. </w:t>
      </w:r>
      <w:r w:rsidR="00E2617D" w:rsidRPr="008C78FC">
        <w:rPr>
          <w:szCs w:val="24"/>
          <w:lang w:val="hr-HR"/>
        </w:rPr>
        <w:t xml:space="preserve">Udovoljava li pravilo ograničenja po cilju u europskom pravu tržišnog natjecanja kriterijima dobrog pravila? Kao instrument  procjene se koriste kriteriji koje je </w:t>
      </w:r>
      <w:proofErr w:type="spellStart"/>
      <w:r w:rsidR="00E2617D" w:rsidRPr="008C78FC">
        <w:rPr>
          <w:szCs w:val="24"/>
          <w:lang w:val="hr-HR"/>
        </w:rPr>
        <w:t>izlođio</w:t>
      </w:r>
      <w:proofErr w:type="spellEnd"/>
      <w:r w:rsidR="00E2617D" w:rsidRPr="008C78FC">
        <w:rPr>
          <w:szCs w:val="24"/>
          <w:lang w:val="hr-HR"/>
        </w:rPr>
        <w:t xml:space="preserve"> OECD, dakle da je pravilo točno, primjenjivo, objektivno, konzistentno i transparentno</w:t>
      </w:r>
      <w:r w:rsidR="00E2617D" w:rsidRPr="008C78FC">
        <w:rPr>
          <w:rStyle w:val="Referencafusnote"/>
          <w:szCs w:val="24"/>
          <w:lang w:val="hr-HR"/>
        </w:rPr>
        <w:footnoteReference w:id="4"/>
      </w:r>
      <w:r w:rsidR="00E2617D" w:rsidRPr="008C78FC">
        <w:rPr>
          <w:szCs w:val="24"/>
          <w:lang w:val="hr-HR"/>
        </w:rPr>
        <w:t>.</w:t>
      </w:r>
    </w:p>
    <w:p w:rsidR="008D44A6" w:rsidRPr="008C78FC" w:rsidRDefault="001E3100" w:rsidP="00E2617D">
      <w:pPr>
        <w:spacing w:line="480" w:lineRule="auto"/>
        <w:ind w:firstLine="360"/>
        <w:rPr>
          <w:szCs w:val="24"/>
          <w:lang w:val="hr-HR"/>
        </w:rPr>
      </w:pPr>
      <w:r>
        <w:rPr>
          <w:szCs w:val="24"/>
          <w:lang w:val="hr-HR"/>
        </w:rPr>
        <w:t xml:space="preserve">Iz tog razloga u </w:t>
      </w:r>
      <w:r w:rsidR="00AF766E" w:rsidRPr="008C78FC">
        <w:rPr>
          <w:szCs w:val="24"/>
          <w:lang w:val="hr-HR"/>
        </w:rPr>
        <w:t xml:space="preserve"> prvom poglavlju se daje kratak prikaz pravnog okvira koji regulira protu</w:t>
      </w:r>
      <w:r w:rsidR="00250117" w:rsidRPr="008C78FC">
        <w:rPr>
          <w:szCs w:val="24"/>
          <w:lang w:val="hr-HR"/>
        </w:rPr>
        <w:t>-tržišne</w:t>
      </w:r>
      <w:r w:rsidR="00AF766E" w:rsidRPr="008C78FC">
        <w:rPr>
          <w:szCs w:val="24"/>
          <w:lang w:val="hr-HR"/>
        </w:rPr>
        <w:t xml:space="preserve"> sporazume u europskom pravu. Zatim, se u drugom dijelu</w:t>
      </w:r>
      <w:r w:rsidR="001A404A" w:rsidRPr="008C78FC">
        <w:rPr>
          <w:szCs w:val="24"/>
          <w:lang w:val="hr-HR"/>
        </w:rPr>
        <w:t>,</w:t>
      </w:r>
      <w:r w:rsidR="00AF766E" w:rsidRPr="008C78FC">
        <w:rPr>
          <w:szCs w:val="24"/>
          <w:lang w:val="hr-HR"/>
        </w:rPr>
        <w:t xml:space="preserve"> prezentiraju </w:t>
      </w:r>
      <w:r w:rsidR="001A404A" w:rsidRPr="008C78FC">
        <w:rPr>
          <w:szCs w:val="24"/>
          <w:lang w:val="hr-HR"/>
        </w:rPr>
        <w:t xml:space="preserve">dva temeljna aspekta ograničenja </w:t>
      </w:r>
      <w:r w:rsidR="00AF766E" w:rsidRPr="008C78FC">
        <w:rPr>
          <w:szCs w:val="24"/>
          <w:lang w:val="hr-HR"/>
        </w:rPr>
        <w:t xml:space="preserve">tržišnog natjecanja – cilj </w:t>
      </w:r>
      <w:r w:rsidR="002F6B07" w:rsidRPr="008C78FC">
        <w:rPr>
          <w:szCs w:val="24"/>
          <w:lang w:val="hr-HR"/>
        </w:rPr>
        <w:t xml:space="preserve">i </w:t>
      </w:r>
      <w:proofErr w:type="spellStart"/>
      <w:r w:rsidR="002F6B07" w:rsidRPr="008C78FC">
        <w:rPr>
          <w:szCs w:val="24"/>
          <w:lang w:val="hr-HR"/>
        </w:rPr>
        <w:t>učinak.</w:t>
      </w:r>
      <w:proofErr w:type="spellEnd"/>
      <w:r w:rsidR="00AF766E" w:rsidRPr="008C78FC">
        <w:rPr>
          <w:szCs w:val="24"/>
          <w:lang w:val="hr-HR"/>
        </w:rPr>
        <w:t xml:space="preserve">. </w:t>
      </w:r>
      <w:r>
        <w:rPr>
          <w:szCs w:val="24"/>
          <w:lang w:val="hr-HR"/>
        </w:rPr>
        <w:t xml:space="preserve">Analiza načina utvrđivanja protu-tržnog cilja počinje s prikazom formalne, ortodoksne metode. </w:t>
      </w:r>
      <w:r w:rsidR="00AF766E" w:rsidRPr="008C78FC">
        <w:rPr>
          <w:szCs w:val="24"/>
          <w:lang w:val="hr-HR"/>
        </w:rPr>
        <w:t>Iz</w:t>
      </w:r>
      <w:r w:rsidR="002F6B07" w:rsidRPr="008C78FC">
        <w:rPr>
          <w:szCs w:val="24"/>
          <w:lang w:val="hr-HR"/>
        </w:rPr>
        <w:t xml:space="preserve"> prikazanog, neizbježno </w:t>
      </w:r>
      <w:r w:rsidR="00317CDE" w:rsidRPr="008C78FC">
        <w:rPr>
          <w:szCs w:val="24"/>
          <w:lang w:val="hr-HR"/>
        </w:rPr>
        <w:t>proizlazi</w:t>
      </w:r>
      <w:r w:rsidR="00AF766E" w:rsidRPr="008C78FC">
        <w:rPr>
          <w:szCs w:val="24"/>
          <w:lang w:val="hr-HR"/>
        </w:rPr>
        <w:t xml:space="preserve"> da se ograničenje po cilju ne može utvrditi samo apstraktnom analizom</w:t>
      </w:r>
      <w:r>
        <w:rPr>
          <w:szCs w:val="24"/>
          <w:lang w:val="hr-HR"/>
        </w:rPr>
        <w:t xml:space="preserve"> sadržaja ugovora. Predlaže se strukturirana metodologija pri </w:t>
      </w:r>
      <w:r w:rsidR="00E2617D">
        <w:rPr>
          <w:szCs w:val="24"/>
          <w:lang w:val="hr-HR"/>
        </w:rPr>
        <w:t>utvrđivanjem cilja sporazuma u  njegovom pravnom i ekonomskom kontekstu.</w:t>
      </w:r>
      <w:r w:rsidR="00AF766E" w:rsidRPr="008C78FC">
        <w:rPr>
          <w:szCs w:val="24"/>
          <w:lang w:val="hr-HR"/>
        </w:rPr>
        <w:t xml:space="preserve"> </w:t>
      </w:r>
      <w:r w:rsidR="00317CDE" w:rsidRPr="008C78FC">
        <w:rPr>
          <w:szCs w:val="24"/>
          <w:lang w:val="hr-HR"/>
        </w:rPr>
        <w:t>U šestom poglavlju se obrađuje nedavna praksa Suda kada je pristupio utvrđivanje cilj</w:t>
      </w:r>
      <w:r w:rsidR="004F4250" w:rsidRPr="008C78FC">
        <w:rPr>
          <w:szCs w:val="24"/>
          <w:lang w:val="hr-HR"/>
        </w:rPr>
        <w:t>a</w:t>
      </w:r>
      <w:r w:rsidR="00317CDE" w:rsidRPr="008C78FC">
        <w:rPr>
          <w:szCs w:val="24"/>
          <w:lang w:val="hr-HR"/>
        </w:rPr>
        <w:t xml:space="preserve"> sporazuma na novi način, utemeljivši potpuno novi pristup</w:t>
      </w:r>
      <w:r w:rsidR="00655DCD" w:rsidRPr="008C78FC">
        <w:rPr>
          <w:szCs w:val="24"/>
          <w:lang w:val="hr-HR"/>
        </w:rPr>
        <w:t>.</w:t>
      </w:r>
      <w:r w:rsidR="003E64E4" w:rsidRPr="008C78FC">
        <w:rPr>
          <w:szCs w:val="24"/>
          <w:lang w:val="hr-HR"/>
        </w:rPr>
        <w:t xml:space="preserve"> </w:t>
      </w:r>
      <w:r w:rsidR="00AF766E" w:rsidRPr="008C78FC">
        <w:rPr>
          <w:szCs w:val="24"/>
          <w:lang w:val="hr-HR"/>
        </w:rPr>
        <w:t xml:space="preserve">Rad završava zaključcima o tome </w:t>
      </w:r>
      <w:r>
        <w:rPr>
          <w:szCs w:val="24"/>
          <w:lang w:val="hr-HR"/>
        </w:rPr>
        <w:t>zašto je ova diskusija aktualna a pojašnjavanje prava nužno u kontekstu moderniziranje primjene europskog prava tržišnog natjecanja.</w:t>
      </w:r>
      <w:r w:rsidR="00AF766E" w:rsidRPr="008C78FC">
        <w:rPr>
          <w:szCs w:val="24"/>
          <w:lang w:val="hr-HR"/>
        </w:rPr>
        <w:t xml:space="preserve"> </w:t>
      </w:r>
    </w:p>
    <w:p w:rsidR="001E3100" w:rsidRDefault="001E3100">
      <w:pPr>
        <w:spacing w:before="0" w:after="0" w:line="240" w:lineRule="auto"/>
        <w:jc w:val="left"/>
        <w:rPr>
          <w:rFonts w:eastAsiaTheme="majorEastAsia"/>
          <w:b/>
          <w:bCs/>
          <w:color w:val="365F91" w:themeColor="accent1" w:themeShade="BF"/>
          <w:sz w:val="28"/>
          <w:szCs w:val="28"/>
          <w:lang w:val="hr-HR"/>
        </w:rPr>
      </w:pPr>
      <w:bookmarkStart w:id="1" w:name="_Toc381547525"/>
      <w:r>
        <w:rPr>
          <w:lang w:val="hr-HR"/>
        </w:rPr>
        <w:br w:type="page"/>
      </w:r>
    </w:p>
    <w:p w:rsidR="009630F5" w:rsidRPr="008C78FC" w:rsidRDefault="009630F5" w:rsidP="00070DE3">
      <w:pPr>
        <w:pStyle w:val="Naslov1"/>
        <w:numPr>
          <w:ilvl w:val="0"/>
          <w:numId w:val="9"/>
        </w:numPr>
        <w:rPr>
          <w:rFonts w:ascii="Times New Roman" w:eastAsia="TimesNewRomanPSMT" w:hAnsi="Times New Roman" w:cs="Times New Roman"/>
          <w:lang w:val="hr-HR"/>
        </w:rPr>
      </w:pPr>
      <w:r w:rsidRPr="008C78FC">
        <w:rPr>
          <w:rFonts w:ascii="Times New Roman" w:hAnsi="Times New Roman" w:cs="Times New Roman"/>
          <w:lang w:val="hr-HR"/>
        </w:rPr>
        <w:lastRenderedPageBreak/>
        <w:t>Pravni</w:t>
      </w:r>
      <w:r w:rsidRPr="008C78FC">
        <w:rPr>
          <w:rFonts w:ascii="Times New Roman" w:eastAsia="TimesNewRomanPSMT" w:hAnsi="Times New Roman" w:cs="Times New Roman"/>
          <w:lang w:val="hr-HR"/>
        </w:rPr>
        <w:t xml:space="preserve"> okvir</w:t>
      </w:r>
      <w:bookmarkEnd w:id="1"/>
    </w:p>
    <w:p w:rsidR="009630F5" w:rsidRPr="008C78FC" w:rsidRDefault="009630F5" w:rsidP="009630F5">
      <w:pPr>
        <w:rPr>
          <w:rFonts w:eastAsia="TimesNewRomanPSMT"/>
          <w:lang w:val="hr-HR"/>
        </w:rPr>
      </w:pPr>
    </w:p>
    <w:p w:rsidR="005661C1" w:rsidRPr="008C78FC" w:rsidRDefault="009630F5" w:rsidP="00E4642C">
      <w:pPr>
        <w:spacing w:line="480" w:lineRule="auto"/>
        <w:ind w:firstLine="360"/>
        <w:rPr>
          <w:rFonts w:eastAsia="TimesNewRomanPSMT"/>
          <w:lang w:val="hr-HR"/>
        </w:rPr>
      </w:pPr>
      <w:r w:rsidRPr="008C78FC">
        <w:rPr>
          <w:rFonts w:eastAsia="TimesNewRomanPSMT"/>
          <w:lang w:val="hr-HR"/>
        </w:rPr>
        <w:t>Temeljne supstancijalne odredbe prava tržišnog natjecanja se nalaze u Ugovoru o funkcioniranju Europske Unije</w:t>
      </w:r>
      <w:r w:rsidR="00B0158D" w:rsidRPr="008C78FC">
        <w:rPr>
          <w:rStyle w:val="Referencafusnote"/>
          <w:rFonts w:eastAsia="TimesNewRomanPSMT"/>
          <w:lang w:val="hr-HR"/>
        </w:rPr>
        <w:footnoteReference w:id="5"/>
      </w:r>
      <w:r w:rsidR="00E51391" w:rsidRPr="008C78FC">
        <w:rPr>
          <w:rFonts w:eastAsia="TimesNewRomanPSMT"/>
          <w:lang w:val="hr-HR"/>
        </w:rPr>
        <w:t xml:space="preserve"> (nadalje </w:t>
      </w:r>
      <w:proofErr w:type="spellStart"/>
      <w:r w:rsidR="00E51391" w:rsidRPr="008C78FC">
        <w:rPr>
          <w:rFonts w:eastAsia="TimesNewRomanPSMT"/>
          <w:lang w:val="hr-HR"/>
        </w:rPr>
        <w:t>UFEU</w:t>
      </w:r>
      <w:proofErr w:type="spellEnd"/>
      <w:r w:rsidR="00E51391" w:rsidRPr="008C78FC">
        <w:rPr>
          <w:rFonts w:eastAsia="TimesNewRomanPSMT"/>
          <w:lang w:val="hr-HR"/>
        </w:rPr>
        <w:t>)</w:t>
      </w:r>
      <w:r w:rsidRPr="008C78FC">
        <w:rPr>
          <w:rFonts w:eastAsia="TimesNewRomanPSMT"/>
          <w:lang w:val="hr-HR"/>
        </w:rPr>
        <w:t>. Za potrebe ovog rada od interesa a je članak 101</w:t>
      </w:r>
      <w:r w:rsidR="00752B7C" w:rsidRPr="008C78FC">
        <w:rPr>
          <w:rFonts w:eastAsia="TimesNewRomanPSMT"/>
          <w:lang w:val="hr-HR"/>
        </w:rPr>
        <w:t>.</w:t>
      </w:r>
      <w:r w:rsidRPr="008C78FC">
        <w:rPr>
          <w:rFonts w:eastAsia="TimesNewRomanPSMT"/>
          <w:lang w:val="hr-HR"/>
        </w:rPr>
        <w:t xml:space="preserve"> koji regulira </w:t>
      </w:r>
      <w:r w:rsidR="00752B7C" w:rsidRPr="008C78FC">
        <w:rPr>
          <w:rFonts w:eastAsia="TimesNewRomanPSMT"/>
          <w:lang w:val="hr-HR"/>
        </w:rPr>
        <w:t>protu-trži</w:t>
      </w:r>
      <w:r w:rsidR="00F82B31" w:rsidRPr="008C78FC">
        <w:rPr>
          <w:rFonts w:eastAsia="TimesNewRomanPSMT"/>
          <w:lang w:val="hr-HR"/>
        </w:rPr>
        <w:t>šnu suradnju između poduzetnika, a glasi:</w:t>
      </w:r>
    </w:p>
    <w:p w:rsidR="005661C1" w:rsidRPr="008C78FC" w:rsidRDefault="005661C1" w:rsidP="005661C1">
      <w:pPr>
        <w:autoSpaceDE w:val="0"/>
        <w:autoSpaceDN w:val="0"/>
        <w:adjustRightInd w:val="0"/>
        <w:spacing w:line="480" w:lineRule="auto"/>
        <w:rPr>
          <w:rFonts w:eastAsia="TimesNewRomanPSMT"/>
          <w:szCs w:val="24"/>
          <w:lang w:val="hr-HR"/>
        </w:rPr>
      </w:pPr>
      <w:r w:rsidRPr="008C78FC">
        <w:rPr>
          <w:rFonts w:eastAsia="TimesNewRomanPSMT"/>
          <w:szCs w:val="24"/>
          <w:lang w:val="hr-HR"/>
        </w:rPr>
        <w:t>“1. Kao nespojivi sa zajedničkim tržištem, zabranjeni su svi sporazumi između poduzetnika, odluke udruženja poduzetnika i usklađeno djelovanje koji bi mogli utjecati na trgovinu između država članica i koji za cilj ili učinak imaju sprečavanje, ograničavanje ili narušavanje tržišnog natjecanja unutar zajedničkog tr</w:t>
      </w:r>
      <w:r w:rsidR="008C46F8" w:rsidRPr="008C78FC">
        <w:rPr>
          <w:rFonts w:eastAsia="TimesNewRomanPSMT"/>
          <w:szCs w:val="24"/>
          <w:lang w:val="hr-HR"/>
        </w:rPr>
        <w:t>žišta, a osobito oni kojima se:</w:t>
      </w:r>
    </w:p>
    <w:p w:rsidR="005661C1" w:rsidRPr="008C78FC" w:rsidRDefault="005661C1" w:rsidP="005661C1">
      <w:pPr>
        <w:pStyle w:val="Odlomakpopisa"/>
        <w:numPr>
          <w:ilvl w:val="0"/>
          <w:numId w:val="2"/>
        </w:numPr>
        <w:autoSpaceDE w:val="0"/>
        <w:autoSpaceDN w:val="0"/>
        <w:adjustRightInd w:val="0"/>
        <w:spacing w:line="480" w:lineRule="auto"/>
        <w:rPr>
          <w:rFonts w:eastAsia="TimesNewRomanPSMT"/>
          <w:szCs w:val="24"/>
          <w:lang w:val="hr-HR"/>
        </w:rPr>
      </w:pPr>
      <w:r w:rsidRPr="008C78FC">
        <w:rPr>
          <w:rFonts w:eastAsia="TimesNewRomanPSMT"/>
          <w:szCs w:val="24"/>
          <w:lang w:val="hr-HR"/>
        </w:rPr>
        <w:t>neposredno ili posredno određuju kupovne ili prodajne cijene ili drugi trgovinski uvjeti;</w:t>
      </w:r>
    </w:p>
    <w:p w:rsidR="005661C1" w:rsidRPr="008C78FC" w:rsidRDefault="005661C1" w:rsidP="005661C1">
      <w:pPr>
        <w:pStyle w:val="Odlomakpopisa"/>
        <w:numPr>
          <w:ilvl w:val="0"/>
          <w:numId w:val="2"/>
        </w:numPr>
        <w:autoSpaceDE w:val="0"/>
        <w:autoSpaceDN w:val="0"/>
        <w:adjustRightInd w:val="0"/>
        <w:spacing w:line="480" w:lineRule="auto"/>
        <w:rPr>
          <w:rFonts w:eastAsia="TimesNewRomanPSMT"/>
          <w:szCs w:val="24"/>
          <w:lang w:val="hr-HR"/>
        </w:rPr>
      </w:pPr>
      <w:r w:rsidRPr="008C78FC">
        <w:rPr>
          <w:rFonts w:eastAsia="TimesNewRomanPSMT"/>
          <w:szCs w:val="24"/>
          <w:lang w:val="hr-HR"/>
        </w:rPr>
        <w:t>ogra</w:t>
      </w:r>
      <w:r w:rsidR="004D044C" w:rsidRPr="008C78FC">
        <w:rPr>
          <w:rFonts w:eastAsia="TimesNewRomanPSMT"/>
          <w:szCs w:val="24"/>
          <w:lang w:val="hr-HR"/>
        </w:rPr>
        <w:t>ničavaju ili nadziru proizvodnju</w:t>
      </w:r>
      <w:r w:rsidRPr="008C78FC">
        <w:rPr>
          <w:rFonts w:eastAsia="TimesNewRomanPSMT"/>
          <w:szCs w:val="24"/>
          <w:lang w:val="hr-HR"/>
        </w:rPr>
        <w:t>, tržišta, tehnički razvoj ili ulaganja;</w:t>
      </w:r>
    </w:p>
    <w:p w:rsidR="005661C1" w:rsidRPr="008C78FC" w:rsidRDefault="005661C1" w:rsidP="005661C1">
      <w:pPr>
        <w:pStyle w:val="Odlomakpopisa"/>
        <w:numPr>
          <w:ilvl w:val="0"/>
          <w:numId w:val="2"/>
        </w:numPr>
        <w:autoSpaceDE w:val="0"/>
        <w:autoSpaceDN w:val="0"/>
        <w:adjustRightInd w:val="0"/>
        <w:spacing w:line="480" w:lineRule="auto"/>
        <w:rPr>
          <w:rFonts w:eastAsia="TimesNewRomanPSMT"/>
          <w:szCs w:val="24"/>
          <w:lang w:val="hr-HR"/>
        </w:rPr>
      </w:pPr>
      <w:r w:rsidRPr="008C78FC">
        <w:rPr>
          <w:rFonts w:eastAsia="TimesNewRomanPSMT"/>
          <w:szCs w:val="24"/>
          <w:lang w:val="hr-HR"/>
        </w:rPr>
        <w:t>dijele tržišta ili izvori nabave;</w:t>
      </w:r>
    </w:p>
    <w:p w:rsidR="005661C1" w:rsidRPr="008C78FC" w:rsidRDefault="005661C1" w:rsidP="005661C1">
      <w:pPr>
        <w:pStyle w:val="Odlomakpopisa"/>
        <w:numPr>
          <w:ilvl w:val="0"/>
          <w:numId w:val="2"/>
        </w:numPr>
        <w:autoSpaceDE w:val="0"/>
        <w:autoSpaceDN w:val="0"/>
        <w:adjustRightInd w:val="0"/>
        <w:spacing w:line="480" w:lineRule="auto"/>
        <w:rPr>
          <w:rFonts w:eastAsia="TimesNewRomanPSMT"/>
          <w:szCs w:val="24"/>
          <w:lang w:val="hr-HR"/>
        </w:rPr>
      </w:pPr>
      <w:r w:rsidRPr="008C78FC">
        <w:rPr>
          <w:rFonts w:eastAsia="TimesNewRomanPSMT"/>
          <w:szCs w:val="24"/>
          <w:lang w:val="hr-HR"/>
        </w:rPr>
        <w:t>primjenjuju nejednaki uvjeti na iste ili slične poslove s različitim trgovačkim partnerima, čime ih se stavlja u nepovoljan položaj u odnosu na konkurenciju;</w:t>
      </w:r>
    </w:p>
    <w:p w:rsidR="008C46F8" w:rsidRPr="008C78FC" w:rsidRDefault="005661C1" w:rsidP="005661C1">
      <w:pPr>
        <w:pStyle w:val="Odlomakpopisa"/>
        <w:numPr>
          <w:ilvl w:val="0"/>
          <w:numId w:val="2"/>
        </w:numPr>
        <w:autoSpaceDE w:val="0"/>
        <w:autoSpaceDN w:val="0"/>
        <w:adjustRightInd w:val="0"/>
        <w:spacing w:line="480" w:lineRule="auto"/>
        <w:rPr>
          <w:rFonts w:eastAsia="TimesNewRomanPSMT"/>
          <w:szCs w:val="24"/>
          <w:lang w:val="hr-HR"/>
        </w:rPr>
      </w:pPr>
      <w:r w:rsidRPr="008C78FC">
        <w:rPr>
          <w:rFonts w:eastAsia="TimesNewRomanPSMT"/>
          <w:szCs w:val="24"/>
          <w:lang w:val="hr-HR"/>
        </w:rPr>
        <w:t>sklapanje ugovora uvjetuje pristankom drugih stranaka na dodatne obveze koje, po svojoj prirodi ili prema trgovačkim običajima, nisu ni u kakvoj vezi s predmetom tih ugovora.</w:t>
      </w:r>
    </w:p>
    <w:p w:rsidR="005661C1" w:rsidRPr="008C78FC" w:rsidRDefault="005661C1" w:rsidP="005661C1">
      <w:pPr>
        <w:autoSpaceDE w:val="0"/>
        <w:autoSpaceDN w:val="0"/>
        <w:adjustRightInd w:val="0"/>
        <w:spacing w:line="480" w:lineRule="auto"/>
        <w:rPr>
          <w:rFonts w:eastAsia="TimesNewRomanPSMT"/>
          <w:szCs w:val="24"/>
          <w:lang w:val="hr-HR"/>
        </w:rPr>
      </w:pPr>
      <w:r w:rsidRPr="008C78FC">
        <w:rPr>
          <w:rFonts w:eastAsia="TimesNewRomanPSMT"/>
          <w:szCs w:val="24"/>
          <w:lang w:val="hr-HR"/>
        </w:rPr>
        <w:t>2. Svi sporazumi ili odluke zabranjeni na temelju ovog članka ništavi su.</w:t>
      </w:r>
    </w:p>
    <w:p w:rsidR="00070DE3" w:rsidRPr="008C78FC" w:rsidRDefault="005661C1" w:rsidP="005661C1">
      <w:pPr>
        <w:autoSpaceDE w:val="0"/>
        <w:autoSpaceDN w:val="0"/>
        <w:adjustRightInd w:val="0"/>
        <w:spacing w:line="480" w:lineRule="auto"/>
        <w:rPr>
          <w:rFonts w:eastAsia="TimesNewRomanPSMT"/>
          <w:szCs w:val="24"/>
          <w:lang w:val="hr-HR"/>
        </w:rPr>
      </w:pPr>
      <w:r w:rsidRPr="008C78FC">
        <w:rPr>
          <w:rFonts w:eastAsia="TimesNewRomanPSMT"/>
          <w:szCs w:val="24"/>
          <w:lang w:val="hr-HR"/>
        </w:rPr>
        <w:t>3. Međutim, odredbe st. 1. mogu se proglas</w:t>
      </w:r>
      <w:r w:rsidR="00070DE3" w:rsidRPr="008C78FC">
        <w:rPr>
          <w:rFonts w:eastAsia="TimesNewRomanPSMT"/>
          <w:szCs w:val="24"/>
          <w:lang w:val="hr-HR"/>
        </w:rPr>
        <w:t xml:space="preserve">iti neprimjenjivima u slučaju </w:t>
      </w:r>
      <w:r w:rsidRPr="008C78FC">
        <w:rPr>
          <w:rFonts w:eastAsia="TimesNewRomanPSMT"/>
          <w:szCs w:val="24"/>
          <w:lang w:val="hr-HR"/>
        </w:rPr>
        <w:t>svakog sporazuma ili vrste sporazuma između poduzetnika svake odluke ili vrste odluka udruženja poduzetnika; svakog zajedničkog djelovanja il</w:t>
      </w:r>
      <w:r w:rsidR="00070DE3" w:rsidRPr="008C78FC">
        <w:rPr>
          <w:rFonts w:eastAsia="TimesNewRomanPSMT"/>
          <w:szCs w:val="24"/>
          <w:lang w:val="hr-HR"/>
        </w:rPr>
        <w:t>i vrste zajedničkog djelovanja:</w:t>
      </w:r>
    </w:p>
    <w:p w:rsidR="005661C1" w:rsidRPr="008C78FC" w:rsidRDefault="005661C1" w:rsidP="00070DE3">
      <w:pPr>
        <w:pStyle w:val="Odlomakpopisa"/>
        <w:numPr>
          <w:ilvl w:val="0"/>
          <w:numId w:val="10"/>
        </w:numPr>
        <w:autoSpaceDE w:val="0"/>
        <w:autoSpaceDN w:val="0"/>
        <w:adjustRightInd w:val="0"/>
        <w:spacing w:line="480" w:lineRule="auto"/>
        <w:rPr>
          <w:rFonts w:eastAsia="TimesNewRomanPSMT"/>
          <w:szCs w:val="24"/>
          <w:lang w:val="hr-HR"/>
        </w:rPr>
      </w:pPr>
      <w:r w:rsidRPr="008C78FC">
        <w:rPr>
          <w:rFonts w:eastAsia="TimesNewRomanPSMT"/>
          <w:szCs w:val="24"/>
          <w:lang w:val="hr-HR"/>
        </w:rPr>
        <w:lastRenderedPageBreak/>
        <w:t xml:space="preserve">koji pridonose poboljšanju proizvodnje ili distribucije robe ili promicanju tehničkog ili gospodarskog napretka, </w:t>
      </w:r>
    </w:p>
    <w:p w:rsidR="00070DE3" w:rsidRPr="008C78FC" w:rsidRDefault="005661C1" w:rsidP="00070DE3">
      <w:pPr>
        <w:pStyle w:val="Odlomakpopisa"/>
        <w:numPr>
          <w:ilvl w:val="0"/>
          <w:numId w:val="10"/>
        </w:numPr>
        <w:autoSpaceDE w:val="0"/>
        <w:autoSpaceDN w:val="0"/>
        <w:adjustRightInd w:val="0"/>
        <w:spacing w:line="480" w:lineRule="auto"/>
        <w:rPr>
          <w:rFonts w:eastAsia="TimesNewRomanPSMT"/>
          <w:szCs w:val="24"/>
          <w:lang w:val="hr-HR"/>
        </w:rPr>
      </w:pPr>
      <w:r w:rsidRPr="008C78FC">
        <w:rPr>
          <w:rFonts w:eastAsia="TimesNewRomanPSMT"/>
          <w:szCs w:val="24"/>
          <w:lang w:val="hr-HR"/>
        </w:rPr>
        <w:t xml:space="preserve">pri čemu potrošačima omogućavaju pravedan udio u koristi koja iz njih proizlazi, </w:t>
      </w:r>
    </w:p>
    <w:p w:rsidR="00070DE3" w:rsidRPr="008C78FC" w:rsidRDefault="005661C1" w:rsidP="00070DE3">
      <w:pPr>
        <w:pStyle w:val="Odlomakpopisa"/>
        <w:numPr>
          <w:ilvl w:val="0"/>
          <w:numId w:val="10"/>
        </w:numPr>
        <w:autoSpaceDE w:val="0"/>
        <w:autoSpaceDN w:val="0"/>
        <w:adjustRightInd w:val="0"/>
        <w:spacing w:line="480" w:lineRule="auto"/>
        <w:rPr>
          <w:rFonts w:eastAsia="TimesNewRomanPSMT"/>
          <w:szCs w:val="24"/>
          <w:lang w:val="hr-HR"/>
        </w:rPr>
      </w:pPr>
      <w:r w:rsidRPr="008C78FC">
        <w:rPr>
          <w:rFonts w:eastAsia="TimesNewRomanPSMT"/>
          <w:szCs w:val="24"/>
          <w:lang w:val="hr-HR"/>
        </w:rPr>
        <w:t xml:space="preserve">te kojim poduzetnicima ne nameću ograničenja koja nisu neophodna za postizanje ovih ciljeva; i </w:t>
      </w:r>
    </w:p>
    <w:p w:rsidR="00F82B31" w:rsidRPr="008C78FC" w:rsidRDefault="005661C1" w:rsidP="00F82B31">
      <w:pPr>
        <w:pStyle w:val="Odlomakpopisa"/>
        <w:numPr>
          <w:ilvl w:val="0"/>
          <w:numId w:val="10"/>
        </w:numPr>
        <w:autoSpaceDE w:val="0"/>
        <w:autoSpaceDN w:val="0"/>
        <w:adjustRightInd w:val="0"/>
        <w:spacing w:line="480" w:lineRule="auto"/>
        <w:rPr>
          <w:rFonts w:eastAsia="TimesNewRomanPSMT"/>
          <w:szCs w:val="24"/>
          <w:lang w:val="hr-HR"/>
        </w:rPr>
      </w:pPr>
      <w:r w:rsidRPr="008C78FC">
        <w:rPr>
          <w:rFonts w:eastAsia="TimesNewRomanPSMT"/>
          <w:szCs w:val="24"/>
          <w:lang w:val="hr-HR"/>
        </w:rPr>
        <w:t>tim poduzetnicima ne omogućavaju uklanjanje konkurencije u pogledu značajno</w:t>
      </w:r>
      <w:r w:rsidR="00B43F69" w:rsidRPr="008C78FC">
        <w:rPr>
          <w:rFonts w:eastAsia="TimesNewRomanPSMT"/>
          <w:szCs w:val="24"/>
          <w:lang w:val="hr-HR"/>
        </w:rPr>
        <w:t xml:space="preserve">g dijela proizvoda u pitanju.” </w:t>
      </w:r>
    </w:p>
    <w:p w:rsidR="00752B7C" w:rsidRPr="008C78FC" w:rsidRDefault="005661C1" w:rsidP="00F82B31">
      <w:pPr>
        <w:autoSpaceDE w:val="0"/>
        <w:autoSpaceDN w:val="0"/>
        <w:adjustRightInd w:val="0"/>
        <w:spacing w:line="480" w:lineRule="auto"/>
        <w:rPr>
          <w:rFonts w:eastAsia="TimesNewRomanPSMT"/>
          <w:szCs w:val="24"/>
          <w:lang w:val="hr-HR"/>
        </w:rPr>
      </w:pPr>
      <w:r w:rsidRPr="008C78FC">
        <w:rPr>
          <w:rFonts w:eastAsia="TimesNewRomanPSMT"/>
          <w:szCs w:val="24"/>
          <w:lang w:val="hr-HR"/>
        </w:rPr>
        <w:t>Struktura čl. 101., može se podi</w:t>
      </w:r>
      <w:r w:rsidR="00F82B31" w:rsidRPr="008C78FC">
        <w:rPr>
          <w:rFonts w:eastAsia="TimesNewRomanPSMT"/>
          <w:szCs w:val="24"/>
          <w:lang w:val="hr-HR"/>
        </w:rPr>
        <w:t>jeliti u tri dijela: generalna zabrana(st.1), pravna posljedica(st.2.) i iznimka (st.3).</w:t>
      </w:r>
    </w:p>
    <w:p w:rsidR="00F82B31" w:rsidRPr="008C78FC" w:rsidRDefault="00F82B31" w:rsidP="00F82B31">
      <w:pPr>
        <w:pStyle w:val="Naslov3"/>
        <w:rPr>
          <w:rFonts w:ascii="Times New Roman" w:eastAsia="TimesNewRomanPSMT" w:hAnsi="Times New Roman" w:cs="Times New Roman"/>
          <w:lang w:val="hr-HR"/>
        </w:rPr>
      </w:pPr>
      <w:bookmarkStart w:id="2" w:name="_Toc381547526"/>
      <w:r w:rsidRPr="008C78FC">
        <w:rPr>
          <w:rFonts w:ascii="Times New Roman" w:eastAsia="TimesNewRomanPSMT" w:hAnsi="Times New Roman" w:cs="Times New Roman"/>
          <w:lang w:val="hr-HR"/>
        </w:rPr>
        <w:t>Zabrana</w:t>
      </w:r>
      <w:bookmarkEnd w:id="2"/>
    </w:p>
    <w:p w:rsidR="006245BA" w:rsidRPr="008C78FC" w:rsidRDefault="006245BA" w:rsidP="00F82B31">
      <w:pPr>
        <w:autoSpaceDE w:val="0"/>
        <w:autoSpaceDN w:val="0"/>
        <w:adjustRightInd w:val="0"/>
        <w:spacing w:line="480" w:lineRule="auto"/>
        <w:rPr>
          <w:rFonts w:eastAsia="TimesNewRomanPSMT"/>
          <w:szCs w:val="24"/>
          <w:lang w:val="hr-HR"/>
        </w:rPr>
      </w:pPr>
    </w:p>
    <w:p w:rsidR="00F82B31" w:rsidRPr="008C78FC" w:rsidRDefault="00B43F69" w:rsidP="00F82B31">
      <w:pPr>
        <w:autoSpaceDE w:val="0"/>
        <w:autoSpaceDN w:val="0"/>
        <w:adjustRightInd w:val="0"/>
        <w:spacing w:line="480" w:lineRule="auto"/>
        <w:rPr>
          <w:rFonts w:eastAsia="TimesNewRomanPSMT"/>
          <w:szCs w:val="24"/>
          <w:lang w:val="hr-HR"/>
        </w:rPr>
      </w:pPr>
      <w:r w:rsidRPr="008C78FC">
        <w:rPr>
          <w:rFonts w:eastAsia="TimesNewRomanPSMT"/>
          <w:szCs w:val="24"/>
          <w:lang w:val="hr-HR"/>
        </w:rPr>
        <w:t>Stavak 1. s</w:t>
      </w:r>
      <w:r w:rsidR="005661C1" w:rsidRPr="008C78FC">
        <w:rPr>
          <w:rFonts w:eastAsia="TimesNewRomanPSMT"/>
          <w:szCs w:val="24"/>
          <w:lang w:val="hr-HR"/>
        </w:rPr>
        <w:t>adrži gen</w:t>
      </w:r>
      <w:r w:rsidRPr="008C78FC">
        <w:rPr>
          <w:rFonts w:eastAsia="TimesNewRomanPSMT"/>
          <w:szCs w:val="24"/>
          <w:lang w:val="hr-HR"/>
        </w:rPr>
        <w:t xml:space="preserve">eralnu </w:t>
      </w:r>
      <w:proofErr w:type="spellStart"/>
      <w:r w:rsidRPr="008C78FC">
        <w:rPr>
          <w:rFonts w:eastAsia="TimesNewRomanPSMT"/>
          <w:szCs w:val="24"/>
          <w:lang w:val="hr-HR"/>
        </w:rPr>
        <w:t>zabranu</w:t>
      </w:r>
      <w:r w:rsidR="00070DE3" w:rsidRPr="008C78FC">
        <w:rPr>
          <w:rFonts w:eastAsia="TimesNewRomanPSMT"/>
          <w:szCs w:val="24"/>
          <w:lang w:val="hr-HR"/>
        </w:rPr>
        <w:t>i</w:t>
      </w:r>
      <w:r w:rsidR="005661C1" w:rsidRPr="008C78FC">
        <w:rPr>
          <w:rFonts w:eastAsia="TimesNewRomanPSMT"/>
          <w:szCs w:val="24"/>
          <w:lang w:val="hr-HR"/>
        </w:rPr>
        <w:t>listu</w:t>
      </w:r>
      <w:proofErr w:type="spellEnd"/>
      <w:r w:rsidR="005661C1" w:rsidRPr="008C78FC">
        <w:rPr>
          <w:rFonts w:eastAsia="TimesNewRomanPSMT"/>
          <w:szCs w:val="24"/>
          <w:lang w:val="hr-HR"/>
        </w:rPr>
        <w:t xml:space="preserve"> potencijalno </w:t>
      </w:r>
      <w:r w:rsidRPr="008C78FC">
        <w:rPr>
          <w:rFonts w:eastAsia="TimesNewRomanPSMT"/>
          <w:szCs w:val="24"/>
          <w:lang w:val="hr-HR"/>
        </w:rPr>
        <w:t xml:space="preserve">restriktivnih </w:t>
      </w:r>
      <w:r w:rsidR="006245BA" w:rsidRPr="008C78FC">
        <w:rPr>
          <w:rFonts w:eastAsia="TimesNewRomanPSMT"/>
          <w:szCs w:val="24"/>
          <w:lang w:val="hr-HR"/>
        </w:rPr>
        <w:t>sporazuma. No, da bi došlo do primjene članka 101.UFEU moraju biti ispunjeni određeni uvjeti</w:t>
      </w:r>
      <w:r w:rsidR="00F82B31" w:rsidRPr="008C78FC">
        <w:rPr>
          <w:rFonts w:eastAsia="TimesNewRomanPSMT"/>
          <w:szCs w:val="24"/>
          <w:lang w:val="hr-HR"/>
        </w:rPr>
        <w:t>.</w:t>
      </w:r>
    </w:p>
    <w:p w:rsidR="00F82B31" w:rsidRPr="008C78FC" w:rsidRDefault="00F82B31" w:rsidP="00692990">
      <w:pPr>
        <w:autoSpaceDE w:val="0"/>
        <w:autoSpaceDN w:val="0"/>
        <w:adjustRightInd w:val="0"/>
        <w:spacing w:line="480" w:lineRule="auto"/>
        <w:rPr>
          <w:color w:val="000000"/>
          <w:szCs w:val="24"/>
          <w:lang w:val="hr-HR"/>
        </w:rPr>
      </w:pPr>
      <w:r w:rsidRPr="008C78FC">
        <w:rPr>
          <w:rFonts w:eastAsia="TimesNewRomanPSMT"/>
          <w:b/>
          <w:szCs w:val="24"/>
          <w:lang w:val="hr-HR"/>
        </w:rPr>
        <w:t>Prvo</w:t>
      </w:r>
      <w:r w:rsidRPr="008C78FC">
        <w:rPr>
          <w:rFonts w:eastAsia="TimesNewRomanPSMT"/>
          <w:szCs w:val="24"/>
          <w:lang w:val="hr-HR"/>
        </w:rPr>
        <w:t xml:space="preserve">, članak 101 </w:t>
      </w:r>
      <w:proofErr w:type="spellStart"/>
      <w:r w:rsidRPr="008C78FC">
        <w:rPr>
          <w:rFonts w:eastAsia="TimesNewRomanPSMT"/>
          <w:szCs w:val="24"/>
          <w:lang w:val="hr-HR"/>
        </w:rPr>
        <w:t>UFEU</w:t>
      </w:r>
      <w:proofErr w:type="spellEnd"/>
      <w:r w:rsidRPr="008C78FC">
        <w:rPr>
          <w:rFonts w:eastAsia="TimesNewRomanPSMT"/>
          <w:szCs w:val="24"/>
          <w:lang w:val="hr-HR"/>
        </w:rPr>
        <w:t xml:space="preserve"> se primjenjuje samo na </w:t>
      </w:r>
      <w:r w:rsidR="006245BA" w:rsidRPr="008C78FC">
        <w:rPr>
          <w:rFonts w:eastAsia="TimesNewRomanPSMT"/>
          <w:szCs w:val="24"/>
          <w:lang w:val="hr-HR"/>
        </w:rPr>
        <w:t>aktivnost privatnih poduzetnika. Prvo tržišnog natjecanja se ne primjenjuje na javne propise i aktivnost tijela javne vlasti. Izuzetno, ukoliko nositelji javne vlasti ipak na tržištu nastupaju kao ekonomski akteri mogu doći pod doseg pravila tržišnog natjecanja.</w:t>
      </w:r>
      <w:r w:rsidR="006245BA" w:rsidRPr="008C78FC">
        <w:rPr>
          <w:rFonts w:eastAsia="TimesNewRomanPSMT"/>
          <w:b/>
          <w:szCs w:val="24"/>
          <w:lang w:val="hr-HR"/>
        </w:rPr>
        <w:t xml:space="preserve"> Drugo</w:t>
      </w:r>
      <w:r w:rsidR="006245BA" w:rsidRPr="008C78FC">
        <w:rPr>
          <w:rFonts w:eastAsia="TimesNewRomanPSMT"/>
          <w:szCs w:val="24"/>
          <w:lang w:val="hr-HR"/>
        </w:rPr>
        <w:t>, mora se raditi o suradnji barem dva neovisna pravna subjekta</w:t>
      </w:r>
      <w:r w:rsidR="00692990" w:rsidRPr="008C78FC">
        <w:rPr>
          <w:rFonts w:eastAsia="TimesNewRomanPSMT"/>
          <w:szCs w:val="24"/>
          <w:lang w:val="hr-HR"/>
        </w:rPr>
        <w:t>, dakle “</w:t>
      </w:r>
      <w:r w:rsidR="00692990" w:rsidRPr="008C78FC">
        <w:rPr>
          <w:color w:val="000000"/>
          <w:szCs w:val="24"/>
          <w:lang w:val="hr-HR"/>
        </w:rPr>
        <w:t>gdje barem jedan poduzetnik u odnosu prema drugom poduzetniku usvoji određeno ponašanje na tržištu”</w:t>
      </w:r>
      <w:r w:rsidR="006245BA" w:rsidRPr="008C78FC">
        <w:rPr>
          <w:rFonts w:eastAsia="TimesNewRomanPSMT"/>
          <w:szCs w:val="24"/>
          <w:lang w:val="hr-HR"/>
        </w:rPr>
        <w:t xml:space="preserve">. </w:t>
      </w:r>
      <w:proofErr w:type="spellStart"/>
      <w:r w:rsidR="006245BA" w:rsidRPr="008C78FC">
        <w:rPr>
          <w:rFonts w:eastAsia="TimesNewRomanPSMT"/>
          <w:szCs w:val="24"/>
          <w:lang w:val="hr-HR"/>
        </w:rPr>
        <w:t>Koluzivna</w:t>
      </w:r>
      <w:proofErr w:type="spellEnd"/>
      <w:r w:rsidR="006245BA" w:rsidRPr="008C78FC">
        <w:rPr>
          <w:rFonts w:eastAsia="TimesNewRomanPSMT"/>
          <w:szCs w:val="24"/>
          <w:lang w:val="hr-HR"/>
        </w:rPr>
        <w:t xml:space="preserve"> suradnja poduzetnika može poprimiti različite formalne oblike. </w:t>
      </w:r>
      <w:r w:rsidR="006245BA" w:rsidRPr="008C78FC">
        <w:rPr>
          <w:color w:val="000000"/>
          <w:szCs w:val="24"/>
          <w:lang w:val="hr-HR"/>
        </w:rPr>
        <w:t xml:space="preserve">Pravilo zabrane iz članka 101. stavka 1. primjenjuje se na ograničavajuće sporazume i usklađena djelovanja između poduzetnika, kao i na odluke udruženja poduzetnika, u mjeri u kojoj one mogu utjecati na trgovinu između država članica. Sudovi Unije su definirali </w:t>
      </w:r>
      <w:r w:rsidRPr="008C78FC">
        <w:rPr>
          <w:color w:val="000000"/>
          <w:szCs w:val="24"/>
          <w:lang w:val="hr-HR"/>
        </w:rPr>
        <w:t>«sporazume», «odluke» i «usklađena djelovan</w:t>
      </w:r>
      <w:r w:rsidR="006245BA" w:rsidRPr="008C78FC">
        <w:rPr>
          <w:color w:val="000000"/>
          <w:szCs w:val="24"/>
          <w:lang w:val="hr-HR"/>
        </w:rPr>
        <w:t xml:space="preserve">ja» kao koncepte prava </w:t>
      </w:r>
      <w:r w:rsidR="006245BA" w:rsidRPr="008C78FC">
        <w:rPr>
          <w:color w:val="000000"/>
          <w:szCs w:val="24"/>
          <w:lang w:val="hr-HR"/>
        </w:rPr>
        <w:lastRenderedPageBreak/>
        <w:t>Unije</w:t>
      </w:r>
      <w:r w:rsidRPr="008C78FC">
        <w:rPr>
          <w:color w:val="000000"/>
          <w:szCs w:val="24"/>
          <w:lang w:val="hr-HR"/>
        </w:rPr>
        <w:t xml:space="preserve">, koji omogućuju razlikovanje jednostranog djelovanja poduzetnika i usklađivanja ponašanja odnosno </w:t>
      </w:r>
      <w:proofErr w:type="spellStart"/>
      <w:r w:rsidRPr="008C78FC">
        <w:rPr>
          <w:color w:val="000000"/>
          <w:szCs w:val="24"/>
          <w:lang w:val="hr-HR"/>
        </w:rPr>
        <w:t>koluzije</w:t>
      </w:r>
      <w:proofErr w:type="spellEnd"/>
      <w:r w:rsidRPr="008C78FC">
        <w:rPr>
          <w:color w:val="000000"/>
          <w:szCs w:val="24"/>
          <w:lang w:val="hr-HR"/>
        </w:rPr>
        <w:t xml:space="preserve"> između poduzetnika</w:t>
      </w:r>
      <w:r w:rsidR="006245BA" w:rsidRPr="008C78FC">
        <w:rPr>
          <w:color w:val="000000"/>
          <w:szCs w:val="24"/>
          <w:lang w:val="hr-HR"/>
        </w:rPr>
        <w:t>.</w:t>
      </w:r>
      <w:r w:rsidR="003E64E4" w:rsidRPr="008C78FC">
        <w:rPr>
          <w:color w:val="000000"/>
          <w:szCs w:val="24"/>
          <w:lang w:val="hr-HR"/>
        </w:rPr>
        <w:t xml:space="preserve"> </w:t>
      </w:r>
      <w:r w:rsidRPr="008C78FC">
        <w:rPr>
          <w:color w:val="000000"/>
          <w:szCs w:val="24"/>
          <w:lang w:val="hr-HR"/>
        </w:rPr>
        <w:t>Jednostrano djelova</w:t>
      </w:r>
      <w:r w:rsidR="006245BA" w:rsidRPr="008C78FC">
        <w:rPr>
          <w:color w:val="000000"/>
          <w:szCs w:val="24"/>
          <w:lang w:val="hr-HR"/>
        </w:rPr>
        <w:t xml:space="preserve">nje podložno je jedino članku 102. </w:t>
      </w:r>
      <w:proofErr w:type="spellStart"/>
      <w:r w:rsidR="006245BA" w:rsidRPr="008C78FC">
        <w:rPr>
          <w:color w:val="000000"/>
          <w:szCs w:val="24"/>
          <w:lang w:val="hr-HR"/>
        </w:rPr>
        <w:t>UFEU</w:t>
      </w:r>
      <w:proofErr w:type="spellEnd"/>
      <w:r w:rsidR="006245BA" w:rsidRPr="008C78FC">
        <w:rPr>
          <w:color w:val="000000"/>
          <w:szCs w:val="24"/>
          <w:lang w:val="hr-HR"/>
        </w:rPr>
        <w:t xml:space="preserve"> što se tiče prava Unije</w:t>
      </w:r>
      <w:r w:rsidR="003E64E4" w:rsidRPr="008C78FC">
        <w:rPr>
          <w:color w:val="000000"/>
          <w:szCs w:val="24"/>
          <w:lang w:val="hr-HR"/>
        </w:rPr>
        <w:t xml:space="preserve"> </w:t>
      </w:r>
      <w:r w:rsidR="006245BA" w:rsidRPr="008C78FC">
        <w:rPr>
          <w:color w:val="000000"/>
          <w:szCs w:val="24"/>
          <w:lang w:val="hr-HR"/>
        </w:rPr>
        <w:t>u području tržišnog natjecanja</w:t>
      </w:r>
      <w:r w:rsidR="006245BA" w:rsidRPr="008C78FC">
        <w:rPr>
          <w:rStyle w:val="Referencafusnote"/>
          <w:color w:val="000000"/>
          <w:szCs w:val="24"/>
          <w:lang w:val="hr-HR"/>
        </w:rPr>
        <w:footnoteReference w:id="6"/>
      </w:r>
      <w:r w:rsidRPr="008C78FC">
        <w:rPr>
          <w:color w:val="000000"/>
          <w:szCs w:val="24"/>
          <w:lang w:val="hr-HR"/>
        </w:rPr>
        <w:t>.</w:t>
      </w:r>
      <w:r w:rsidR="00692990" w:rsidRPr="008C78FC">
        <w:rPr>
          <w:b/>
          <w:color w:val="000000"/>
          <w:szCs w:val="24"/>
          <w:lang w:val="hr-HR"/>
        </w:rPr>
        <w:t>Treće</w:t>
      </w:r>
      <w:r w:rsidR="00692990" w:rsidRPr="008C78FC">
        <w:rPr>
          <w:color w:val="000000"/>
          <w:szCs w:val="24"/>
          <w:lang w:val="hr-HR"/>
        </w:rPr>
        <w:t xml:space="preserve">, suradnja mora imati za svoj </w:t>
      </w:r>
      <w:r w:rsidR="00692990" w:rsidRPr="008C78FC">
        <w:rPr>
          <w:rFonts w:eastAsia="TimesNewRomanPSMT"/>
          <w:szCs w:val="24"/>
          <w:lang w:val="hr-HR"/>
        </w:rPr>
        <w:t>cilj ili učinak imaju sprečavanje, ograničavanje ili narušavanje tržišnog natjecanja</w:t>
      </w:r>
      <w:r w:rsidR="00692990" w:rsidRPr="008C78FC">
        <w:rPr>
          <w:color w:val="000000"/>
          <w:szCs w:val="24"/>
          <w:lang w:val="hr-HR"/>
        </w:rPr>
        <w:t xml:space="preserve"> Utvrđeno ograničenje pri tome ne smije biti neznatno. Više o ograničenju tržišnog natjecanja u slijedećem poglavlju. </w:t>
      </w:r>
      <w:r w:rsidR="00692990" w:rsidRPr="008C78FC">
        <w:rPr>
          <w:rFonts w:eastAsia="TimesNewRomanPSMT"/>
          <w:b/>
          <w:lang w:val="hr-HR"/>
        </w:rPr>
        <w:t>Četvrto</w:t>
      </w:r>
      <w:r w:rsidR="00692990" w:rsidRPr="008C78FC">
        <w:rPr>
          <w:rFonts w:eastAsia="TimesNewRomanPSMT"/>
          <w:lang w:val="hr-HR"/>
        </w:rPr>
        <w:t xml:space="preserve">, uz navedene supstancijalne kriterije treba biti </w:t>
      </w:r>
      <w:r w:rsidR="008360D1" w:rsidRPr="008C78FC">
        <w:rPr>
          <w:rFonts w:eastAsia="TimesNewRomanPSMT"/>
          <w:lang w:val="hr-HR"/>
        </w:rPr>
        <w:t>zadovoljen i jedan jurisdikcijski</w:t>
      </w:r>
      <w:r w:rsidR="004F4250" w:rsidRPr="008C78FC">
        <w:rPr>
          <w:rFonts w:eastAsia="TimesNewRomanPSMT"/>
          <w:lang w:val="hr-HR"/>
        </w:rPr>
        <w:t xml:space="preserve"> kriterij </w:t>
      </w:r>
      <w:r w:rsidRPr="008C78FC">
        <w:rPr>
          <w:rFonts w:eastAsia="TimesNewRomanPSMT"/>
          <w:lang w:val="hr-HR"/>
        </w:rPr>
        <w:t xml:space="preserve">– učinak na trgovinu među zemljama članicama. </w:t>
      </w:r>
      <w:r w:rsidR="00692990" w:rsidRPr="008C78FC">
        <w:rPr>
          <w:rFonts w:eastAsia="TimesNewRomanPSMT"/>
          <w:lang w:val="hr-HR"/>
        </w:rPr>
        <w:t>Nije iznenađujuće da sudovi tumače</w:t>
      </w:r>
      <w:r w:rsidRPr="008C78FC">
        <w:rPr>
          <w:rFonts w:eastAsia="TimesNewRomanPSMT"/>
          <w:lang w:val="hr-HR"/>
        </w:rPr>
        <w:t xml:space="preserve"> taj kriterij vrlo široko. </w:t>
      </w:r>
      <w:r w:rsidRPr="008C78FC">
        <w:rPr>
          <w:lang w:val="hr-HR"/>
        </w:rPr>
        <w:t>„može li se s dovoljnim stup</w:t>
      </w:r>
      <w:r w:rsidR="00692990" w:rsidRPr="008C78FC">
        <w:rPr>
          <w:lang w:val="hr-HR"/>
        </w:rPr>
        <w:t>njem vjerojatnosti predvidjeti, na temelju objektivnih pravnih ili činjeničnih faktora, da sporazum ili djelovanje može izravno ili neizravno, stvarno ili potencijalno, utjecati na trgovinu između država članica”</w:t>
      </w:r>
      <w:r w:rsidR="00692990" w:rsidRPr="008C78FC">
        <w:rPr>
          <w:rStyle w:val="Referencafusnote"/>
          <w:lang w:val="hr-HR"/>
        </w:rPr>
        <w:footnoteReference w:id="7"/>
      </w:r>
    </w:p>
    <w:p w:rsidR="00F82B31" w:rsidRPr="008C78FC" w:rsidRDefault="00F82B31" w:rsidP="00F82B31">
      <w:pPr>
        <w:pStyle w:val="Naslov3"/>
        <w:rPr>
          <w:rFonts w:ascii="Times New Roman" w:eastAsia="TimesNewRomanPSMT" w:hAnsi="Times New Roman" w:cs="Times New Roman"/>
          <w:szCs w:val="24"/>
          <w:lang w:val="hr-HR"/>
        </w:rPr>
      </w:pPr>
      <w:bookmarkStart w:id="3" w:name="_Toc381547527"/>
      <w:r w:rsidRPr="008C78FC">
        <w:rPr>
          <w:rFonts w:ascii="Times New Roman" w:eastAsia="TimesNewRomanPSMT" w:hAnsi="Times New Roman" w:cs="Times New Roman"/>
          <w:lang w:val="hr-HR"/>
        </w:rPr>
        <w:t>Izuzetak</w:t>
      </w:r>
      <w:bookmarkEnd w:id="3"/>
    </w:p>
    <w:p w:rsidR="00F82B31" w:rsidRDefault="00F82B31" w:rsidP="00F82B31">
      <w:pPr>
        <w:autoSpaceDE w:val="0"/>
        <w:autoSpaceDN w:val="0"/>
        <w:adjustRightInd w:val="0"/>
        <w:spacing w:line="480" w:lineRule="auto"/>
        <w:ind w:firstLine="360"/>
        <w:rPr>
          <w:rFonts w:eastAsia="TimesNewRomanPSMT"/>
          <w:szCs w:val="24"/>
          <w:lang w:val="hr-HR"/>
        </w:rPr>
      </w:pPr>
      <w:r w:rsidRPr="008C78FC">
        <w:rPr>
          <w:rFonts w:eastAsia="TimesNewRomanPSMT"/>
          <w:szCs w:val="24"/>
          <w:lang w:val="hr-HR"/>
        </w:rPr>
        <w:t xml:space="preserve">Stavak 3. sadrži pravilo iznimke. Do stupanja na snagu Uredbe Vijeća (EZ) br. 1/2003 od 16. prosinca 2002. o provedbi pravila o tržišnom natjecanju koja su propisana [čl. 101. i 102. </w:t>
      </w:r>
      <w:proofErr w:type="spellStart"/>
      <w:r w:rsidRPr="008C78FC">
        <w:rPr>
          <w:rFonts w:eastAsia="TimesNewRomanPSMT"/>
          <w:szCs w:val="24"/>
          <w:lang w:val="hr-HR"/>
        </w:rPr>
        <w:t>UFEU</w:t>
      </w:r>
      <w:proofErr w:type="spellEnd"/>
      <w:r w:rsidRPr="008C78FC">
        <w:rPr>
          <w:rFonts w:eastAsia="TimesNewRomanPSMT"/>
          <w:szCs w:val="24"/>
          <w:lang w:val="hr-HR"/>
        </w:rPr>
        <w:t>] (dalje Uredba 1/2003)</w:t>
      </w:r>
      <w:r w:rsidRPr="008C78FC">
        <w:rPr>
          <w:rStyle w:val="Referencafusnote"/>
          <w:rFonts w:eastAsia="TimesNewRomanPSMT"/>
          <w:szCs w:val="24"/>
          <w:lang w:val="hr-HR"/>
        </w:rPr>
        <w:footnoteReference w:id="8"/>
      </w:r>
      <w:r w:rsidRPr="008C78FC">
        <w:rPr>
          <w:rFonts w:eastAsia="TimesNewRomanPSMT"/>
          <w:szCs w:val="24"/>
          <w:lang w:val="hr-HR"/>
        </w:rPr>
        <w:t xml:space="preserve"> današnji članak 101(3). </w:t>
      </w:r>
      <w:proofErr w:type="spellStart"/>
      <w:r w:rsidRPr="008C78FC">
        <w:rPr>
          <w:rFonts w:eastAsia="TimesNewRomanPSMT"/>
          <w:szCs w:val="24"/>
          <w:lang w:val="hr-HR"/>
        </w:rPr>
        <w:t>UFEU</w:t>
      </w:r>
      <w:proofErr w:type="spellEnd"/>
      <w:r w:rsidRPr="008C78FC">
        <w:rPr>
          <w:rFonts w:eastAsia="TimesNewRomanPSMT"/>
          <w:szCs w:val="24"/>
          <w:lang w:val="hr-HR"/>
        </w:rPr>
        <w:t xml:space="preserve"> je mogla primjenjivati jedino Komisija. Naime, stranke su sporazum koji su smatrale da je protivan članku 101(1). </w:t>
      </w:r>
      <w:proofErr w:type="spellStart"/>
      <w:r w:rsidRPr="008C78FC">
        <w:rPr>
          <w:rFonts w:eastAsia="TimesNewRomanPSMT"/>
          <w:szCs w:val="24"/>
          <w:lang w:val="hr-HR"/>
        </w:rPr>
        <w:t>UFEU</w:t>
      </w:r>
      <w:proofErr w:type="spellEnd"/>
      <w:r w:rsidRPr="008C78FC">
        <w:rPr>
          <w:rFonts w:eastAsia="TimesNewRomanPSMT"/>
          <w:szCs w:val="24"/>
          <w:lang w:val="hr-HR"/>
        </w:rPr>
        <w:t xml:space="preserve"> trebale </w:t>
      </w:r>
      <w:proofErr w:type="spellStart"/>
      <w:r w:rsidRPr="008C78FC">
        <w:rPr>
          <w:rFonts w:eastAsia="TimesNewRomanPSMT"/>
          <w:szCs w:val="24"/>
          <w:lang w:val="hr-HR"/>
        </w:rPr>
        <w:t>notificirati</w:t>
      </w:r>
      <w:proofErr w:type="spellEnd"/>
      <w:r w:rsidRPr="008C78FC">
        <w:rPr>
          <w:rFonts w:eastAsia="TimesNewRomanPSMT"/>
          <w:szCs w:val="24"/>
          <w:lang w:val="hr-HR"/>
        </w:rPr>
        <w:t xml:space="preserve"> Komisiji. Ukoliko bi stranke dokazale da zadovoljava sva četiri kriterija iz stavka 3. Komisija bi donijela rješenje kojim utvrđuje da je sporazum dozvoljen. O nepraktičnosti sustava individualne procjene u rukama Komisije govori činjenica da je 1960.-</w:t>
      </w:r>
      <w:r w:rsidRPr="008C78FC">
        <w:rPr>
          <w:rFonts w:eastAsia="TimesNewRomanPSMT"/>
          <w:szCs w:val="24"/>
          <w:lang w:val="hr-HR"/>
        </w:rPr>
        <w:lastRenderedPageBreak/>
        <w:t xml:space="preserve">ih godina preko </w:t>
      </w:r>
      <w:r w:rsidRPr="008C78FC">
        <w:rPr>
          <w:szCs w:val="24"/>
          <w:lang w:val="hr-HR"/>
        </w:rPr>
        <w:t xml:space="preserve">30,000 sporazuma godišnje je bilo  </w:t>
      </w:r>
      <w:proofErr w:type="spellStart"/>
      <w:r w:rsidRPr="008C78FC">
        <w:rPr>
          <w:szCs w:val="24"/>
          <w:lang w:val="hr-HR"/>
        </w:rPr>
        <w:t>notificirano</w:t>
      </w:r>
      <w:proofErr w:type="spellEnd"/>
      <w:r w:rsidRPr="008C78FC">
        <w:rPr>
          <w:szCs w:val="24"/>
          <w:lang w:val="hr-HR"/>
        </w:rPr>
        <w:t xml:space="preserve"> Komisiji</w:t>
      </w:r>
      <w:r w:rsidRPr="008C78FC">
        <w:rPr>
          <w:rStyle w:val="Referencafusnote"/>
          <w:szCs w:val="24"/>
          <w:lang w:val="hr-HR"/>
        </w:rPr>
        <w:footnoteReference w:id="9"/>
      </w:r>
      <w:r w:rsidRPr="008C78FC">
        <w:rPr>
          <w:szCs w:val="24"/>
          <w:lang w:val="hr-HR"/>
        </w:rPr>
        <w:t xml:space="preserve">. Prekomjeran administrativni teret doveo je do toga da je Komisija zauzela vrlo formalan i kategoričan pristup u primjeni tadašnjeg članka 85(3) Rimskog sporazuma (danas članak 101(3) </w:t>
      </w:r>
      <w:proofErr w:type="spellStart"/>
      <w:r w:rsidRPr="008C78FC">
        <w:rPr>
          <w:szCs w:val="24"/>
          <w:lang w:val="hr-HR"/>
        </w:rPr>
        <w:t>UFEU</w:t>
      </w:r>
      <w:proofErr w:type="spellEnd"/>
      <w:r w:rsidRPr="008C78FC">
        <w:rPr>
          <w:szCs w:val="24"/>
          <w:lang w:val="hr-HR"/>
        </w:rPr>
        <w:t>)</w:t>
      </w:r>
      <w:r w:rsidRPr="008C78FC">
        <w:rPr>
          <w:rStyle w:val="Referencafusnote"/>
          <w:szCs w:val="24"/>
          <w:lang w:val="hr-HR"/>
        </w:rPr>
        <w:footnoteReference w:id="10"/>
      </w:r>
      <w:r w:rsidRPr="008C78FC">
        <w:rPr>
          <w:rFonts w:eastAsia="TimesNewRomanPSMT"/>
          <w:szCs w:val="24"/>
          <w:lang w:val="hr-HR"/>
        </w:rPr>
        <w:t>. Komisija je stoga donijela posebne Uredbe o skupnom izuzeću. Sporazumi koji spadaju u doseg ‘sigurne luke’ neke od Uredbi o skupno</w:t>
      </w:r>
      <w:r w:rsidR="005C6D74">
        <w:rPr>
          <w:rFonts w:eastAsia="TimesNewRomanPSMT"/>
          <w:szCs w:val="24"/>
          <w:lang w:val="hr-HR"/>
        </w:rPr>
        <w:t>m</w:t>
      </w:r>
      <w:r w:rsidRPr="008C78FC">
        <w:rPr>
          <w:rFonts w:eastAsia="TimesNewRomanPSMT"/>
          <w:szCs w:val="24"/>
          <w:lang w:val="hr-HR"/>
        </w:rPr>
        <w:t xml:space="preserve"> izuzeću se pretpostavlja da ispunjavaju uvjete iz članka 101.3 </w:t>
      </w:r>
      <w:proofErr w:type="spellStart"/>
      <w:r w:rsidRPr="008C78FC">
        <w:rPr>
          <w:rFonts w:eastAsia="TimesNewRomanPSMT"/>
          <w:szCs w:val="24"/>
          <w:lang w:val="hr-HR"/>
        </w:rPr>
        <w:t>UFEU</w:t>
      </w:r>
      <w:proofErr w:type="spellEnd"/>
      <w:r w:rsidRPr="008C78FC">
        <w:rPr>
          <w:rFonts w:eastAsia="TimesNewRomanPSMT"/>
          <w:szCs w:val="24"/>
          <w:lang w:val="hr-HR"/>
        </w:rPr>
        <w:t>. Doseg Uredbi o skupnom izuzeću je određen na dva načina. Prvo, stranka trebaju imati udio na mjerodavnom tržištu unutar okvira propisanih predmetnom Uredbom. Drugo, sporazumi ne smiju sadržavati osobito tzv. ‘tvrdokorna ograničenja’ koja su izričito navedena u Uredbama o skupnom izuzeću. Naime, ukoliko sporazumi sadrže takve odredbe, sporazum je izuzet od primjene predmetne Uredbe i mora se individualno procijeniti.</w:t>
      </w:r>
      <w:r w:rsidRPr="008C78FC">
        <w:rPr>
          <w:rStyle w:val="Referencafusnote"/>
          <w:rFonts w:eastAsia="TimesNewRomanPSMT"/>
          <w:szCs w:val="24"/>
          <w:lang w:val="hr-HR"/>
        </w:rPr>
        <w:footnoteReference w:id="11"/>
      </w:r>
    </w:p>
    <w:p w:rsidR="00F82B31" w:rsidRPr="008C78FC" w:rsidRDefault="00F82B31" w:rsidP="00F82B31">
      <w:pPr>
        <w:pStyle w:val="Naslov3"/>
        <w:rPr>
          <w:rFonts w:ascii="Times New Roman" w:eastAsia="TimesNewRomanPSMT" w:hAnsi="Times New Roman" w:cs="Times New Roman"/>
          <w:lang w:val="hr-HR"/>
        </w:rPr>
      </w:pPr>
      <w:bookmarkStart w:id="4" w:name="_Toc381547528"/>
      <w:r w:rsidRPr="008C78FC">
        <w:rPr>
          <w:rFonts w:ascii="Times New Roman" w:eastAsia="TimesNewRomanPSMT" w:hAnsi="Times New Roman" w:cs="Times New Roman"/>
          <w:lang w:val="hr-HR"/>
        </w:rPr>
        <w:t>Pravna posljedica</w:t>
      </w:r>
      <w:bookmarkEnd w:id="4"/>
    </w:p>
    <w:p w:rsidR="007A7E48" w:rsidRPr="008C78FC" w:rsidRDefault="005661C1" w:rsidP="008D44A6">
      <w:pPr>
        <w:autoSpaceDE w:val="0"/>
        <w:autoSpaceDN w:val="0"/>
        <w:adjustRightInd w:val="0"/>
        <w:spacing w:line="480" w:lineRule="auto"/>
        <w:ind w:firstLine="360"/>
        <w:rPr>
          <w:rFonts w:eastAsia="TimesNewRomanPSMT"/>
          <w:szCs w:val="24"/>
          <w:lang w:val="hr-HR"/>
        </w:rPr>
      </w:pPr>
      <w:r w:rsidRPr="008C78FC">
        <w:rPr>
          <w:rFonts w:eastAsia="TimesNewRomanPSMT"/>
          <w:szCs w:val="24"/>
          <w:lang w:val="hr-HR"/>
        </w:rPr>
        <w:t>Pravnu posljedicu zabranjenog sporazuma propisuje stavak 2. Naime, svaki sporazum ili odluka udruženja poduzetnika</w:t>
      </w:r>
      <w:r w:rsidR="00070DE3" w:rsidRPr="008C78FC">
        <w:rPr>
          <w:rFonts w:eastAsia="TimesNewRomanPSMT"/>
          <w:szCs w:val="24"/>
          <w:lang w:val="hr-HR"/>
        </w:rPr>
        <w:t xml:space="preserve"> koja je protivna članku 101 </w:t>
      </w:r>
      <w:proofErr w:type="spellStart"/>
      <w:r w:rsidR="00070DE3" w:rsidRPr="008C78FC">
        <w:rPr>
          <w:rFonts w:eastAsia="TimesNewRomanPSMT"/>
          <w:szCs w:val="24"/>
          <w:lang w:val="hr-HR"/>
        </w:rPr>
        <w:t>UFEU</w:t>
      </w:r>
      <w:proofErr w:type="spellEnd"/>
      <w:r w:rsidR="00070DE3" w:rsidRPr="008C78FC">
        <w:rPr>
          <w:rFonts w:eastAsia="TimesNewRomanPSMT"/>
          <w:szCs w:val="24"/>
          <w:lang w:val="hr-HR"/>
        </w:rPr>
        <w:t xml:space="preserve"> su </w:t>
      </w:r>
      <w:r w:rsidRPr="008C78FC">
        <w:rPr>
          <w:rFonts w:eastAsia="TimesNewRomanPSMT"/>
          <w:szCs w:val="24"/>
          <w:lang w:val="hr-HR"/>
        </w:rPr>
        <w:t>ništav</w:t>
      </w:r>
      <w:r w:rsidR="00070DE3" w:rsidRPr="008C78FC">
        <w:rPr>
          <w:rFonts w:eastAsia="TimesNewRomanPSMT"/>
          <w:szCs w:val="24"/>
          <w:lang w:val="hr-HR"/>
        </w:rPr>
        <w:t>i</w:t>
      </w:r>
      <w:r w:rsidR="00F903E6" w:rsidRPr="008C78FC">
        <w:rPr>
          <w:rStyle w:val="Referencafusnote"/>
          <w:rFonts w:eastAsia="TimesNewRomanPSMT"/>
          <w:szCs w:val="24"/>
          <w:lang w:val="hr-HR"/>
        </w:rPr>
        <w:footnoteReference w:id="12"/>
      </w:r>
      <w:r w:rsidR="00A436CE" w:rsidRPr="008C78FC">
        <w:rPr>
          <w:rFonts w:eastAsia="TimesNewRomanPSMT"/>
          <w:szCs w:val="24"/>
          <w:lang w:val="hr-HR"/>
        </w:rPr>
        <w:t xml:space="preserve">. Korisno je </w:t>
      </w:r>
      <w:r w:rsidRPr="008C78FC">
        <w:rPr>
          <w:rFonts w:eastAsia="TimesNewRomanPSMT"/>
          <w:szCs w:val="24"/>
          <w:lang w:val="hr-HR"/>
        </w:rPr>
        <w:t>napomenuti da ništavost sporazuma nije jedina pravna posljedica kršenja članka 10</w:t>
      </w:r>
      <w:r w:rsidR="00A436CE" w:rsidRPr="008C78FC">
        <w:rPr>
          <w:rFonts w:eastAsia="TimesNewRomanPSMT"/>
          <w:szCs w:val="24"/>
          <w:lang w:val="hr-HR"/>
        </w:rPr>
        <w:t>1. EFEU. Naime, Komisija i nadležna</w:t>
      </w:r>
      <w:r w:rsidRPr="008C78FC">
        <w:rPr>
          <w:rFonts w:eastAsia="TimesNewRomanPSMT"/>
          <w:szCs w:val="24"/>
          <w:lang w:val="hr-HR"/>
        </w:rPr>
        <w:t xml:space="preserve"> nacional</w:t>
      </w:r>
      <w:r w:rsidR="00A11326" w:rsidRPr="008C78FC">
        <w:rPr>
          <w:rFonts w:eastAsia="TimesNewRomanPSMT"/>
          <w:szCs w:val="24"/>
          <w:lang w:val="hr-HR"/>
        </w:rPr>
        <w:t>a</w:t>
      </w:r>
      <w:r w:rsidRPr="008C78FC">
        <w:rPr>
          <w:rFonts w:eastAsia="TimesNewRomanPSMT"/>
          <w:szCs w:val="24"/>
          <w:lang w:val="hr-HR"/>
        </w:rPr>
        <w:t xml:space="preserve"> tijela za zaštitu tržišnog natjecanja mogu stra</w:t>
      </w:r>
      <w:r w:rsidR="00A11326" w:rsidRPr="008C78FC">
        <w:rPr>
          <w:rFonts w:eastAsia="TimesNewRomanPSMT"/>
          <w:szCs w:val="24"/>
          <w:lang w:val="hr-HR"/>
        </w:rPr>
        <w:t>nkama ugovora odrediti i novčane</w:t>
      </w:r>
      <w:r w:rsidRPr="008C78FC">
        <w:rPr>
          <w:rFonts w:eastAsia="TimesNewRomanPSMT"/>
          <w:szCs w:val="24"/>
          <w:lang w:val="hr-HR"/>
        </w:rPr>
        <w:t xml:space="preserve"> kazne</w:t>
      </w:r>
      <w:r w:rsidR="00F903E6" w:rsidRPr="008C78FC">
        <w:rPr>
          <w:rStyle w:val="Referencafusnote"/>
          <w:rFonts w:eastAsia="TimesNewRomanPSMT"/>
          <w:szCs w:val="24"/>
          <w:lang w:val="hr-HR"/>
        </w:rPr>
        <w:footnoteReference w:id="13"/>
      </w:r>
      <w:r w:rsidRPr="008C78FC">
        <w:rPr>
          <w:rStyle w:val="Referencafusnote"/>
          <w:rFonts w:eastAsia="TimesNewRomanPSMT"/>
          <w:szCs w:val="24"/>
          <w:lang w:val="hr-HR"/>
        </w:rPr>
        <w:footnoteReference w:id="14"/>
      </w:r>
      <w:r w:rsidR="00F903E6" w:rsidRPr="008C78FC">
        <w:rPr>
          <w:rFonts w:eastAsia="TimesNewRomanPSMT"/>
          <w:szCs w:val="24"/>
          <w:lang w:val="hr-HR"/>
        </w:rPr>
        <w:t>.</w:t>
      </w:r>
    </w:p>
    <w:p w:rsidR="000774B5" w:rsidRPr="008C78FC" w:rsidRDefault="000774B5" w:rsidP="000774B5">
      <w:pPr>
        <w:pStyle w:val="Naslov1"/>
        <w:numPr>
          <w:ilvl w:val="0"/>
          <w:numId w:val="9"/>
        </w:numPr>
        <w:rPr>
          <w:rFonts w:ascii="Times New Roman" w:hAnsi="Times New Roman" w:cs="Times New Roman"/>
          <w:lang w:val="hr-HR"/>
        </w:rPr>
      </w:pPr>
      <w:bookmarkStart w:id="5" w:name="_Toc381547529"/>
      <w:r w:rsidRPr="008C78FC">
        <w:rPr>
          <w:rFonts w:ascii="Times New Roman" w:hAnsi="Times New Roman" w:cs="Times New Roman"/>
          <w:lang w:val="hr-HR"/>
        </w:rPr>
        <w:lastRenderedPageBreak/>
        <w:t>Ograničenje tržišnog natjecanja</w:t>
      </w:r>
      <w:r w:rsidR="00F82B31" w:rsidRPr="008C78FC">
        <w:rPr>
          <w:rFonts w:ascii="Times New Roman" w:hAnsi="Times New Roman" w:cs="Times New Roman"/>
          <w:lang w:val="hr-HR"/>
        </w:rPr>
        <w:t xml:space="preserve"> – dihotomija cilj/učinak</w:t>
      </w:r>
      <w:bookmarkEnd w:id="5"/>
    </w:p>
    <w:p w:rsidR="000774B5" w:rsidRPr="008C78FC" w:rsidRDefault="000774B5" w:rsidP="000774B5">
      <w:pPr>
        <w:spacing w:line="480" w:lineRule="auto"/>
        <w:rPr>
          <w:szCs w:val="24"/>
          <w:lang w:val="hr-HR"/>
        </w:rPr>
      </w:pPr>
    </w:p>
    <w:p w:rsidR="000774B5" w:rsidRPr="008C78FC" w:rsidRDefault="000774B5" w:rsidP="007A7E48">
      <w:pPr>
        <w:spacing w:line="480" w:lineRule="auto"/>
        <w:ind w:firstLine="360"/>
        <w:rPr>
          <w:szCs w:val="24"/>
          <w:lang w:val="hr-HR"/>
        </w:rPr>
      </w:pPr>
      <w:r w:rsidRPr="008C78FC">
        <w:rPr>
          <w:szCs w:val="24"/>
          <w:lang w:val="hr-HR"/>
        </w:rPr>
        <w:t xml:space="preserve">Suštinu zabrane iz članka 101(1) </w:t>
      </w:r>
      <w:proofErr w:type="spellStart"/>
      <w:r w:rsidRPr="008C78FC">
        <w:rPr>
          <w:szCs w:val="24"/>
          <w:lang w:val="hr-HR"/>
        </w:rPr>
        <w:t>UFEU</w:t>
      </w:r>
      <w:proofErr w:type="spellEnd"/>
      <w:r w:rsidRPr="008C78FC">
        <w:rPr>
          <w:szCs w:val="24"/>
          <w:lang w:val="hr-HR"/>
        </w:rPr>
        <w:t xml:space="preserve"> čini odgovor na pitanje što je ograničenje tržišnog natjecanja. </w:t>
      </w:r>
      <w:r w:rsidR="00F05782" w:rsidRPr="008C78FC">
        <w:rPr>
          <w:szCs w:val="24"/>
          <w:lang w:val="hr-HR"/>
        </w:rPr>
        <w:t xml:space="preserve">Pristup Komisije u primjeni pravila tržišnog natjecanja je bio uvelike kritiziran. Tada je sredinom 90.-ih godina sama Komisija se složila da se njezin pristup trebao </w:t>
      </w:r>
      <w:proofErr w:type="spellStart"/>
      <w:r w:rsidR="00F05782" w:rsidRPr="008C78FC">
        <w:rPr>
          <w:szCs w:val="24"/>
          <w:lang w:val="hr-HR"/>
        </w:rPr>
        <w:t>uskalditi</w:t>
      </w:r>
      <w:proofErr w:type="spellEnd"/>
      <w:r w:rsidR="00F05782" w:rsidRPr="008C78FC">
        <w:rPr>
          <w:szCs w:val="24"/>
          <w:lang w:val="hr-HR"/>
        </w:rPr>
        <w:t xml:space="preserve"> sa suvremenim ekonomskim razmišljanjima</w:t>
      </w:r>
      <w:r w:rsidR="00F05782" w:rsidRPr="008C78FC">
        <w:rPr>
          <w:rStyle w:val="Referencafusnote"/>
          <w:szCs w:val="24"/>
          <w:lang w:val="hr-HR"/>
        </w:rPr>
        <w:footnoteReference w:id="15"/>
      </w:r>
      <w:r w:rsidR="00F05782" w:rsidRPr="008C78FC">
        <w:rPr>
          <w:szCs w:val="24"/>
          <w:lang w:val="hr-HR"/>
        </w:rPr>
        <w:t xml:space="preserve">.  </w:t>
      </w:r>
    </w:p>
    <w:p w:rsidR="00B74842" w:rsidRPr="008C78FC" w:rsidRDefault="00B74842" w:rsidP="007A7E48">
      <w:pPr>
        <w:spacing w:line="480" w:lineRule="auto"/>
        <w:ind w:firstLine="360"/>
        <w:rPr>
          <w:iCs/>
          <w:szCs w:val="24"/>
          <w:lang w:val="hr-HR"/>
        </w:rPr>
      </w:pPr>
      <w:r w:rsidRPr="008C78FC">
        <w:rPr>
          <w:szCs w:val="24"/>
          <w:lang w:val="hr-HR"/>
        </w:rPr>
        <w:t xml:space="preserve">U predmetu </w:t>
      </w:r>
      <w:r w:rsidRPr="008C78FC">
        <w:rPr>
          <w:i/>
          <w:iCs/>
          <w:szCs w:val="24"/>
          <w:lang w:val="hr-HR"/>
        </w:rPr>
        <w:t xml:space="preserve">Societe </w:t>
      </w:r>
      <w:proofErr w:type="spellStart"/>
      <w:r w:rsidRPr="008C78FC">
        <w:rPr>
          <w:i/>
          <w:iCs/>
          <w:szCs w:val="24"/>
          <w:lang w:val="hr-HR"/>
        </w:rPr>
        <w:t>TechniqueMiniere</w:t>
      </w:r>
      <w:proofErr w:type="spellEnd"/>
      <w:r w:rsidRPr="008C78FC">
        <w:rPr>
          <w:i/>
          <w:iCs/>
          <w:szCs w:val="24"/>
          <w:lang w:val="hr-HR"/>
        </w:rPr>
        <w:t xml:space="preserve"> v </w:t>
      </w:r>
      <w:proofErr w:type="spellStart"/>
      <w:r w:rsidRPr="008C78FC">
        <w:rPr>
          <w:i/>
          <w:iCs/>
          <w:szCs w:val="24"/>
          <w:lang w:val="hr-HR"/>
        </w:rPr>
        <w:t>MaschinenbauUlmGmbH</w:t>
      </w:r>
      <w:proofErr w:type="spellEnd"/>
      <w:r w:rsidRPr="008C78FC">
        <w:rPr>
          <w:iCs/>
          <w:szCs w:val="24"/>
          <w:lang w:val="hr-HR"/>
        </w:rPr>
        <w:t>(</w:t>
      </w:r>
      <w:proofErr w:type="spellStart"/>
      <w:r w:rsidRPr="008C78FC">
        <w:rPr>
          <w:iCs/>
          <w:szCs w:val="24"/>
          <w:lang w:val="hr-HR"/>
        </w:rPr>
        <w:t>STM</w:t>
      </w:r>
      <w:proofErr w:type="spellEnd"/>
      <w:r w:rsidRPr="008C78FC">
        <w:rPr>
          <w:iCs/>
          <w:szCs w:val="24"/>
          <w:lang w:val="hr-HR"/>
        </w:rPr>
        <w:t>) Sud je objasnio da se riječi „cilj“ i „učinak“</w:t>
      </w:r>
      <w:r w:rsidR="00AC1678" w:rsidRPr="008C78FC">
        <w:rPr>
          <w:iCs/>
          <w:szCs w:val="24"/>
          <w:lang w:val="hr-HR"/>
        </w:rPr>
        <w:t xml:space="preserve"> u članku 101(1) </w:t>
      </w:r>
      <w:proofErr w:type="spellStart"/>
      <w:r w:rsidR="00AC1678" w:rsidRPr="008C78FC">
        <w:rPr>
          <w:iCs/>
          <w:szCs w:val="24"/>
          <w:lang w:val="hr-HR"/>
        </w:rPr>
        <w:t>UFEU</w:t>
      </w:r>
      <w:proofErr w:type="spellEnd"/>
      <w:r w:rsidR="00AC1678" w:rsidRPr="008C78FC">
        <w:rPr>
          <w:iCs/>
          <w:szCs w:val="24"/>
          <w:lang w:val="hr-HR"/>
        </w:rPr>
        <w:t xml:space="preserve"> treba</w:t>
      </w:r>
      <w:r w:rsidRPr="008C78FC">
        <w:rPr>
          <w:iCs/>
          <w:szCs w:val="24"/>
          <w:lang w:val="hr-HR"/>
        </w:rPr>
        <w:t xml:space="preserve">ju čitati </w:t>
      </w:r>
      <w:r w:rsidR="00AC1678" w:rsidRPr="008C78FC">
        <w:rPr>
          <w:iCs/>
          <w:szCs w:val="24"/>
          <w:lang w:val="hr-HR"/>
        </w:rPr>
        <w:t>odvojeno.</w:t>
      </w:r>
      <w:r w:rsidRPr="008C78FC">
        <w:rPr>
          <w:iCs/>
          <w:szCs w:val="24"/>
          <w:lang w:val="hr-HR"/>
        </w:rPr>
        <w:t xml:space="preserve"> Dakle radi se o dvije neovisne i alternativne metode za utvrđivanje ograničenja tržišnog natjecanja. </w:t>
      </w:r>
      <w:r w:rsidR="00AC1678" w:rsidRPr="008C78FC">
        <w:rPr>
          <w:iCs/>
          <w:szCs w:val="24"/>
          <w:lang w:val="hr-HR"/>
        </w:rPr>
        <w:t>Usprkos tomu, Sud se je često referirao na te pojmove zajedno bez da je odredio da li se radi o ograničenju po cilju ili učinku.</w:t>
      </w:r>
      <w:r w:rsidR="00AC1678" w:rsidRPr="008C78FC">
        <w:rPr>
          <w:rStyle w:val="Referencafusnote"/>
          <w:iCs/>
          <w:szCs w:val="24"/>
          <w:lang w:val="hr-HR"/>
        </w:rPr>
        <w:footnoteReference w:id="16"/>
      </w:r>
    </w:p>
    <w:p w:rsidR="002E4E57" w:rsidRPr="008C78FC" w:rsidRDefault="00AC1678" w:rsidP="00AC1678">
      <w:pPr>
        <w:spacing w:line="480" w:lineRule="auto"/>
        <w:ind w:firstLine="360"/>
        <w:rPr>
          <w:szCs w:val="24"/>
          <w:lang w:val="hr-HR"/>
        </w:rPr>
      </w:pPr>
      <w:r w:rsidRPr="008C78FC">
        <w:rPr>
          <w:iCs/>
          <w:szCs w:val="24"/>
          <w:lang w:val="hr-HR"/>
        </w:rPr>
        <w:t xml:space="preserve">Temeljna razlika </w:t>
      </w:r>
      <w:proofErr w:type="spellStart"/>
      <w:r w:rsidRPr="008C78FC">
        <w:rPr>
          <w:iCs/>
          <w:szCs w:val="24"/>
          <w:lang w:val="hr-HR"/>
        </w:rPr>
        <w:t>izmeđucilja</w:t>
      </w:r>
      <w:proofErr w:type="spellEnd"/>
      <w:r w:rsidRPr="008C78FC">
        <w:rPr>
          <w:iCs/>
          <w:szCs w:val="24"/>
          <w:lang w:val="hr-HR"/>
        </w:rPr>
        <w:t xml:space="preserve"> i učinka je u tome što se u slučaju ograničenja po cilju</w:t>
      </w:r>
      <w:r w:rsidR="002E4E57" w:rsidRPr="008C78FC">
        <w:rPr>
          <w:szCs w:val="24"/>
          <w:lang w:val="hr-HR"/>
        </w:rPr>
        <w:t xml:space="preserve">  ‘nema potrebe uzimati u obzir konkretne učinke sporazuma kada se doima da za svoj cilj ima ogr</w:t>
      </w:r>
      <w:r w:rsidR="000428B9" w:rsidRPr="008C78FC">
        <w:rPr>
          <w:szCs w:val="24"/>
          <w:lang w:val="hr-HR"/>
        </w:rPr>
        <w:t>aničenje tržišnog natjecanja’</w:t>
      </w:r>
      <w:r w:rsidRPr="008C78FC">
        <w:rPr>
          <w:rStyle w:val="Referencafusnote"/>
          <w:szCs w:val="24"/>
          <w:lang w:val="hr-HR"/>
        </w:rPr>
        <w:footnoteReference w:id="17"/>
      </w:r>
      <w:r w:rsidR="000428B9" w:rsidRPr="008C78FC">
        <w:rPr>
          <w:szCs w:val="24"/>
          <w:lang w:val="hr-HR"/>
        </w:rPr>
        <w:t>.</w:t>
      </w:r>
      <w:r w:rsidRPr="008C78FC">
        <w:rPr>
          <w:iCs/>
          <w:szCs w:val="24"/>
          <w:lang w:val="hr-HR"/>
        </w:rPr>
        <w:t>Određeni autori idu dalje i tvrde da analiza cilja sporazuma je u biti analiza sadržaja, a ne konteksta</w:t>
      </w:r>
      <w:r w:rsidRPr="008C78FC">
        <w:rPr>
          <w:i/>
          <w:iCs/>
          <w:szCs w:val="24"/>
          <w:lang w:val="hr-HR"/>
        </w:rPr>
        <w:t>.</w:t>
      </w:r>
      <w:r w:rsidRPr="008C78FC">
        <w:rPr>
          <w:rStyle w:val="Referencafusnote"/>
          <w:i/>
          <w:iCs/>
          <w:szCs w:val="24"/>
          <w:lang w:val="hr-HR"/>
        </w:rPr>
        <w:footnoteReference w:id="18"/>
      </w:r>
      <w:r w:rsidRPr="008C78FC">
        <w:rPr>
          <w:i/>
          <w:iCs/>
          <w:szCs w:val="24"/>
          <w:lang w:val="hr-HR"/>
        </w:rPr>
        <w:t xml:space="preserve">. </w:t>
      </w:r>
      <w:r w:rsidR="002E4E57" w:rsidRPr="008C78FC">
        <w:rPr>
          <w:szCs w:val="24"/>
          <w:lang w:val="hr-HR"/>
        </w:rPr>
        <w:t>Iz stajališta Su</w:t>
      </w:r>
      <w:r w:rsidR="004F4250" w:rsidRPr="008C78FC">
        <w:rPr>
          <w:szCs w:val="24"/>
          <w:lang w:val="hr-HR"/>
        </w:rPr>
        <w:t>da slijedi da će, u pravilu, pr</w:t>
      </w:r>
      <w:r w:rsidR="002E4E57" w:rsidRPr="008C78FC">
        <w:rPr>
          <w:szCs w:val="24"/>
          <w:lang w:val="hr-HR"/>
        </w:rPr>
        <w:t xml:space="preserve">vi korak analize sporazuma biti njegov cilj. No, koristeći formulaciju „doima se“ može se </w:t>
      </w:r>
      <w:r w:rsidR="002E4E57" w:rsidRPr="008C78FC">
        <w:rPr>
          <w:szCs w:val="24"/>
          <w:lang w:val="hr-HR"/>
        </w:rPr>
        <w:lastRenderedPageBreak/>
        <w:t xml:space="preserve">zaključiti da je analiza cilja sporazuma donekle površan zadatak.  </w:t>
      </w:r>
      <w:r w:rsidRPr="008C78FC">
        <w:rPr>
          <w:szCs w:val="24"/>
          <w:lang w:val="hr-HR"/>
        </w:rPr>
        <w:t>Te se</w:t>
      </w:r>
      <w:r w:rsidR="002E4E57" w:rsidRPr="008C78FC">
        <w:rPr>
          <w:szCs w:val="24"/>
          <w:lang w:val="hr-HR"/>
        </w:rPr>
        <w:t xml:space="preserve"> već na osnovi sadržaja sporazuma se može stvoriti dojam o cilju sporazuma. </w:t>
      </w:r>
      <w:r w:rsidRPr="008C78FC">
        <w:rPr>
          <w:szCs w:val="24"/>
          <w:lang w:val="hr-HR"/>
        </w:rPr>
        <w:t>Činjenica da su ta dva kriterija alternativa, znači da je primjereno, ponajprije utvrditi da li je jedan od njih zadovoljen</w:t>
      </w:r>
      <w:r w:rsidRPr="008C78FC">
        <w:rPr>
          <w:rStyle w:val="Referencafusnote"/>
          <w:szCs w:val="24"/>
          <w:lang w:val="hr-HR"/>
        </w:rPr>
        <w:footnoteReference w:id="19"/>
      </w:r>
      <w:r w:rsidRPr="008C78FC">
        <w:rPr>
          <w:szCs w:val="24"/>
          <w:lang w:val="hr-HR"/>
        </w:rPr>
        <w:t>.</w:t>
      </w:r>
    </w:p>
    <w:p w:rsidR="00072198" w:rsidRPr="008C78FC" w:rsidRDefault="00E62AED" w:rsidP="00886B9E">
      <w:pPr>
        <w:spacing w:line="480" w:lineRule="auto"/>
        <w:rPr>
          <w:lang w:val="hr-HR"/>
        </w:rPr>
      </w:pPr>
      <w:r w:rsidRPr="008C78FC">
        <w:rPr>
          <w:lang w:val="hr-HR"/>
        </w:rPr>
        <w:t>Stoga prije nego što se obrade različiti načini utvrđivanja tržišnog natjecanja, korisno je osvrnuti se na pitanje što ta analiza nikako ne bi trebala obuhvaćati. Dakle, što je analiza učinaka restriktivnog sporazuma?</w:t>
      </w:r>
    </w:p>
    <w:p w:rsidR="00356390" w:rsidRPr="008C78FC" w:rsidRDefault="00356390" w:rsidP="00A436CE">
      <w:pPr>
        <w:spacing w:line="480" w:lineRule="auto"/>
        <w:ind w:firstLine="708"/>
        <w:rPr>
          <w:color w:val="000000"/>
          <w:szCs w:val="24"/>
          <w:lang w:val="hr-HR"/>
        </w:rPr>
      </w:pPr>
      <w:r w:rsidRPr="008C78FC">
        <w:rPr>
          <w:color w:val="000000"/>
          <w:szCs w:val="24"/>
          <w:lang w:val="hr-HR"/>
        </w:rPr>
        <w:t>Ocjena o tome ograničava li sporazum tržišno natjecanje mora se provoditi unutar stvarnih okvira u kojima bi se tržišno natjecanje ostvarivalo u odsutnosti sporazuma za koji se smatra da sadrži ograničenja</w:t>
      </w:r>
      <w:r w:rsidRPr="008C78FC">
        <w:rPr>
          <w:rStyle w:val="Referencafusnote"/>
          <w:color w:val="000000"/>
          <w:szCs w:val="24"/>
          <w:lang w:val="hr-HR"/>
        </w:rPr>
        <w:footnoteReference w:id="20"/>
      </w:r>
      <w:r w:rsidR="00655DCD" w:rsidRPr="008C78FC">
        <w:rPr>
          <w:color w:val="000000"/>
          <w:szCs w:val="24"/>
          <w:lang w:val="hr-HR"/>
        </w:rPr>
        <w:t xml:space="preserve">. </w:t>
      </w:r>
      <w:r w:rsidRPr="008C78FC">
        <w:rPr>
          <w:color w:val="000000"/>
          <w:szCs w:val="24"/>
          <w:lang w:val="hr-HR"/>
        </w:rPr>
        <w:t xml:space="preserve">Analiza tržišnog natjecanja nije apstraktna već nadležno tijelo nužno mora voditi računa o </w:t>
      </w:r>
      <w:r w:rsidRPr="008C78FC">
        <w:rPr>
          <w:szCs w:val="24"/>
          <w:lang w:val="hr-HR"/>
        </w:rPr>
        <w:t xml:space="preserve">osobito ekonomski kontekst u kojem poduzetnici djeluju, </w:t>
      </w:r>
      <w:r w:rsidR="00E62AED" w:rsidRPr="008C78FC">
        <w:rPr>
          <w:szCs w:val="24"/>
          <w:lang w:val="hr-HR"/>
        </w:rPr>
        <w:t>proizvode</w:t>
      </w:r>
      <w:r w:rsidR="00655DCD" w:rsidRPr="008C78FC">
        <w:rPr>
          <w:szCs w:val="24"/>
          <w:lang w:val="hr-HR"/>
        </w:rPr>
        <w:t xml:space="preserve"> i</w:t>
      </w:r>
      <w:r w:rsidRPr="008C78FC">
        <w:rPr>
          <w:szCs w:val="24"/>
          <w:lang w:val="hr-HR"/>
        </w:rPr>
        <w:t xml:space="preserve"> usluge koji su predmetom ugovora te stvarnu strukturu mjerodavnog tržišta.</w:t>
      </w:r>
      <w:r w:rsidRPr="008C78FC">
        <w:rPr>
          <w:rStyle w:val="Referencafusnote"/>
          <w:szCs w:val="24"/>
          <w:lang w:val="hr-HR"/>
        </w:rPr>
        <w:footnoteReference w:id="21"/>
      </w:r>
    </w:p>
    <w:p w:rsidR="00BA0E0B" w:rsidRPr="008C78FC" w:rsidRDefault="00356390" w:rsidP="00A436CE">
      <w:pPr>
        <w:spacing w:line="480" w:lineRule="auto"/>
        <w:ind w:firstLine="708"/>
        <w:rPr>
          <w:szCs w:val="24"/>
          <w:lang w:val="hr-HR"/>
        </w:rPr>
      </w:pPr>
      <w:r w:rsidRPr="008C78FC">
        <w:rPr>
          <w:color w:val="000000"/>
          <w:szCs w:val="24"/>
          <w:lang w:val="hr-HR"/>
        </w:rPr>
        <w:t>Prvi korak činjenične analize je d</w:t>
      </w:r>
      <w:r w:rsidR="00BA0E0B" w:rsidRPr="008C78FC">
        <w:rPr>
          <w:color w:val="000000"/>
          <w:szCs w:val="24"/>
          <w:lang w:val="hr-HR"/>
        </w:rPr>
        <w:t xml:space="preserve">efiniranje mjerodavnog tržišta. </w:t>
      </w:r>
      <w:r w:rsidR="00A436CE" w:rsidRPr="008C78FC">
        <w:rPr>
          <w:szCs w:val="24"/>
          <w:lang w:val="hr-HR"/>
        </w:rPr>
        <w:t>Bitno je istaknuti da i u kontekstu ograničenja po cilju je nužno utvrditi mjerodavno tržište. Ali kada se radi o sporazumu koji po svojoj prirodi je protivan funkcioniranju tržišnog natjecanja, mjerodavno tržište se utvrđuje sa smanjenom preciznošću.</w:t>
      </w:r>
      <w:r w:rsidR="00A436CE" w:rsidRPr="008C78FC">
        <w:rPr>
          <w:rStyle w:val="Referencafusnote"/>
          <w:szCs w:val="24"/>
          <w:lang w:val="hr-HR"/>
        </w:rPr>
        <w:footnoteReference w:id="22"/>
      </w:r>
      <w:r w:rsidR="00A436CE" w:rsidRPr="008C78FC">
        <w:rPr>
          <w:color w:val="000000"/>
          <w:szCs w:val="24"/>
          <w:lang w:val="hr-HR"/>
        </w:rPr>
        <w:t>Potrebno je odrediti t</w:t>
      </w:r>
      <w:r w:rsidR="00BA0E0B" w:rsidRPr="008C78FC">
        <w:rPr>
          <w:color w:val="000000"/>
          <w:szCs w:val="24"/>
          <w:lang w:val="hr-HR"/>
        </w:rPr>
        <w:t xml:space="preserve">ržište proizvoda i/ili usluga te odrediti geografske okvire mjerodavnog tržišta. </w:t>
      </w:r>
      <w:r w:rsidRPr="008C78FC">
        <w:rPr>
          <w:color w:val="000000"/>
          <w:szCs w:val="24"/>
          <w:lang w:val="hr-HR"/>
        </w:rPr>
        <w:t xml:space="preserve">To bi značilo utvrditi koji su proizvodi predmet ugovora, te u kakvom su odnosu poduzetnici na tržištu. Bitno je istaknuti </w:t>
      </w:r>
      <w:r w:rsidRPr="008C78FC">
        <w:rPr>
          <w:color w:val="000000"/>
          <w:szCs w:val="24"/>
          <w:lang w:val="hr-HR"/>
        </w:rPr>
        <w:lastRenderedPageBreak/>
        <w:t xml:space="preserve">da kada u kontekstu europskog prava tržišnog natjecanja koristimo termin </w:t>
      </w:r>
      <w:r w:rsidR="00BA0E0B" w:rsidRPr="008C78FC">
        <w:rPr>
          <w:i/>
          <w:color w:val="000000"/>
          <w:szCs w:val="24"/>
          <w:lang w:val="hr-HR"/>
        </w:rPr>
        <w:t>takmičar</w:t>
      </w:r>
      <w:r w:rsidR="004F4250" w:rsidRPr="008C78FC">
        <w:rPr>
          <w:i/>
          <w:color w:val="000000"/>
          <w:szCs w:val="24"/>
          <w:lang w:val="hr-HR"/>
        </w:rPr>
        <w:t xml:space="preserve"> </w:t>
      </w:r>
      <w:r w:rsidRPr="008C78FC">
        <w:rPr>
          <w:color w:val="000000"/>
          <w:szCs w:val="24"/>
          <w:lang w:val="hr-HR"/>
        </w:rPr>
        <w:t xml:space="preserve">misli na osim poduzetnike  </w:t>
      </w:r>
      <w:r w:rsidR="00A436CE" w:rsidRPr="008C78FC">
        <w:rPr>
          <w:color w:val="000000"/>
          <w:szCs w:val="24"/>
          <w:lang w:val="hr-HR"/>
        </w:rPr>
        <w:t xml:space="preserve">koji </w:t>
      </w:r>
      <w:r w:rsidRPr="008C78FC">
        <w:rPr>
          <w:color w:val="000000"/>
          <w:szCs w:val="24"/>
          <w:lang w:val="hr-HR"/>
        </w:rPr>
        <w:t>realno međusobno konkuriraju svojim proizvodima na tržištu i na potencijalne takmičare.</w:t>
      </w:r>
    </w:p>
    <w:p w:rsidR="00356390" w:rsidRPr="008C78FC" w:rsidRDefault="00356390" w:rsidP="00A436CE">
      <w:pPr>
        <w:spacing w:line="480" w:lineRule="auto"/>
        <w:ind w:firstLine="708"/>
        <w:rPr>
          <w:color w:val="000000"/>
          <w:szCs w:val="24"/>
          <w:lang w:val="hr-HR"/>
        </w:rPr>
      </w:pPr>
      <w:r w:rsidRPr="008C78FC">
        <w:rPr>
          <w:szCs w:val="24"/>
          <w:lang w:val="hr-HR"/>
        </w:rPr>
        <w:t>Nakon što je utvrđeno mjerodavno tržište, potrebo je dokazati da je sporni ugovor proizveo, odnosno da će vrlo vjerojatno proizvesti protu</w:t>
      </w:r>
      <w:r w:rsidR="00BA0E0B" w:rsidRPr="008C78FC">
        <w:rPr>
          <w:szCs w:val="24"/>
          <w:lang w:val="hr-HR"/>
        </w:rPr>
        <w:t>-tržiš</w:t>
      </w:r>
      <w:r w:rsidRPr="008C78FC">
        <w:rPr>
          <w:szCs w:val="24"/>
          <w:lang w:val="hr-HR"/>
        </w:rPr>
        <w:t>ne učinke</w:t>
      </w:r>
      <w:r w:rsidR="008152B1" w:rsidRPr="008C78FC">
        <w:rPr>
          <w:rStyle w:val="Referencafusnote"/>
          <w:szCs w:val="24"/>
          <w:lang w:val="hr-HR"/>
        </w:rPr>
        <w:footnoteReference w:id="23"/>
      </w:r>
      <w:r w:rsidRPr="008C78FC">
        <w:rPr>
          <w:szCs w:val="24"/>
          <w:lang w:val="hr-HR"/>
        </w:rPr>
        <w:t>. Ukoliko je ugovor implementiran protu</w:t>
      </w:r>
      <w:r w:rsidR="00E457CD" w:rsidRPr="008C78FC">
        <w:rPr>
          <w:szCs w:val="24"/>
          <w:lang w:val="hr-HR"/>
        </w:rPr>
        <w:t>-</w:t>
      </w:r>
      <w:r w:rsidRPr="008C78FC">
        <w:rPr>
          <w:szCs w:val="24"/>
          <w:lang w:val="hr-HR"/>
        </w:rPr>
        <w:t>tržišni učinci se mogu utvrditi</w:t>
      </w:r>
      <w:r w:rsidR="00BA0E0B" w:rsidRPr="008C78FC">
        <w:rPr>
          <w:szCs w:val="24"/>
          <w:lang w:val="hr-HR"/>
        </w:rPr>
        <w:t xml:space="preserve"> na direktan način - </w:t>
      </w:r>
      <w:r w:rsidRPr="008C78FC">
        <w:rPr>
          <w:szCs w:val="24"/>
          <w:lang w:val="hr-HR"/>
        </w:rPr>
        <w:t xml:space="preserve"> procjenom </w:t>
      </w:r>
      <w:r w:rsidR="00E457CD" w:rsidRPr="008C78FC">
        <w:rPr>
          <w:szCs w:val="24"/>
          <w:lang w:val="hr-HR"/>
        </w:rPr>
        <w:t xml:space="preserve">temeljnih </w:t>
      </w:r>
      <w:r w:rsidRPr="008C78FC">
        <w:rPr>
          <w:szCs w:val="24"/>
          <w:lang w:val="hr-HR"/>
        </w:rPr>
        <w:t>tržišnih parametara – cijena,</w:t>
      </w:r>
      <w:r w:rsidR="00BA0E0B" w:rsidRPr="008C78FC">
        <w:rPr>
          <w:szCs w:val="24"/>
          <w:lang w:val="hr-HR"/>
        </w:rPr>
        <w:t xml:space="preserve"> kvantiteta, </w:t>
      </w:r>
      <w:r w:rsidRPr="008C78FC">
        <w:rPr>
          <w:szCs w:val="24"/>
          <w:lang w:val="hr-HR"/>
        </w:rPr>
        <w:t>kvaliteta proizvoda</w:t>
      </w:r>
      <w:r w:rsidR="00BA0E0B" w:rsidRPr="008C78FC">
        <w:rPr>
          <w:szCs w:val="24"/>
          <w:lang w:val="hr-HR"/>
        </w:rPr>
        <w:t xml:space="preserve"> i inovacije</w:t>
      </w:r>
      <w:r w:rsidRPr="008C78FC">
        <w:rPr>
          <w:szCs w:val="24"/>
          <w:lang w:val="hr-HR"/>
        </w:rPr>
        <w:t xml:space="preserve">. </w:t>
      </w:r>
      <w:r w:rsidRPr="008C78FC">
        <w:rPr>
          <w:color w:val="000000"/>
          <w:szCs w:val="24"/>
          <w:lang w:val="hr-HR"/>
        </w:rPr>
        <w:t>Negativni učinci na tržišno natjecanje unutar mjerodavnog tržišta vjerojatno će se dogoditi kad stranke pojedinačno ili zajednički imaju odnosno postižu neki stupanj tržišne snage, a sporazum doprinosi stvaranju, održavanju ili jačanju te tržišne snage odnosno omogućava stranka</w:t>
      </w:r>
      <w:r w:rsidR="00E457CD" w:rsidRPr="008C78FC">
        <w:rPr>
          <w:color w:val="000000"/>
          <w:szCs w:val="24"/>
          <w:lang w:val="hr-HR"/>
        </w:rPr>
        <w:t xml:space="preserve">ma iskorištavanje takve snage. </w:t>
      </w:r>
      <w:r w:rsidRPr="008C78FC">
        <w:rPr>
          <w:color w:val="000000"/>
          <w:szCs w:val="24"/>
          <w:lang w:val="hr-HR"/>
        </w:rPr>
        <w:t>Tržišna snaga je sposobnost održavanja cijena iznad tržišne razine, tijekom značajnog vremenskog razdoblja, odnosno održavanja proizvodnog izlaza u smislu količina proizvoda, kvalitete i raznovrsnosti proizvoda ili inovacija ispod tržišne razine tijekom značajnog vremenskog razdoblja</w:t>
      </w:r>
      <w:r w:rsidR="00685598" w:rsidRPr="008C78FC">
        <w:rPr>
          <w:color w:val="000000"/>
          <w:szCs w:val="24"/>
          <w:lang w:val="hr-HR"/>
        </w:rPr>
        <w:t>.</w:t>
      </w:r>
    </w:p>
    <w:p w:rsidR="008D44A6" w:rsidRPr="008C78FC" w:rsidRDefault="00B44EF6" w:rsidP="008D44A6">
      <w:pPr>
        <w:spacing w:line="480" w:lineRule="auto"/>
        <w:ind w:firstLine="708"/>
        <w:rPr>
          <w:szCs w:val="24"/>
          <w:lang w:val="hr-HR"/>
        </w:rPr>
      </w:pPr>
      <w:r w:rsidRPr="008C78FC">
        <w:rPr>
          <w:color w:val="000000"/>
          <w:szCs w:val="24"/>
          <w:lang w:val="hr-HR"/>
        </w:rPr>
        <w:t>Dakle, kako bi smo do</w:t>
      </w:r>
      <w:r w:rsidR="00655DCD" w:rsidRPr="008C78FC">
        <w:rPr>
          <w:color w:val="000000"/>
          <w:szCs w:val="24"/>
          <w:lang w:val="hr-HR"/>
        </w:rPr>
        <w:t>šl</w:t>
      </w:r>
      <w:r w:rsidRPr="008C78FC">
        <w:rPr>
          <w:color w:val="000000"/>
          <w:szCs w:val="24"/>
          <w:lang w:val="hr-HR"/>
        </w:rPr>
        <w:t xml:space="preserve">i do zaključka da sporazum ima za cilj ograničenje tržišnog natjecanja, to moramo učiniti </w:t>
      </w:r>
      <w:r w:rsidR="008D44A6" w:rsidRPr="008C78FC">
        <w:rPr>
          <w:color w:val="000000"/>
          <w:szCs w:val="24"/>
          <w:lang w:val="hr-HR"/>
        </w:rPr>
        <w:t xml:space="preserve">neovisno ne samo od stvarnih učinaka na tržište, već i bez oslonca na pomoćne instrumente poput </w:t>
      </w:r>
      <w:proofErr w:type="spellStart"/>
      <w:r w:rsidR="008D44A6" w:rsidRPr="008C78FC">
        <w:rPr>
          <w:color w:val="000000"/>
          <w:szCs w:val="24"/>
          <w:lang w:val="hr-HR"/>
        </w:rPr>
        <w:t>tržiše</w:t>
      </w:r>
      <w:proofErr w:type="spellEnd"/>
      <w:r w:rsidR="008D44A6" w:rsidRPr="008C78FC">
        <w:rPr>
          <w:color w:val="000000"/>
          <w:szCs w:val="24"/>
          <w:lang w:val="hr-HR"/>
        </w:rPr>
        <w:t xml:space="preserve"> moći i barijere ulasku na tržište.</w:t>
      </w:r>
    </w:p>
    <w:p w:rsidR="006F0432" w:rsidRPr="008C78FC" w:rsidRDefault="006F0432">
      <w:pPr>
        <w:spacing w:before="0" w:after="0" w:line="240" w:lineRule="auto"/>
        <w:jc w:val="left"/>
        <w:rPr>
          <w:lang w:val="hr-HR"/>
        </w:rPr>
      </w:pPr>
      <w:r w:rsidRPr="008C78FC">
        <w:rPr>
          <w:b/>
          <w:bCs/>
          <w:lang w:val="hr-HR"/>
        </w:rPr>
        <w:br w:type="page"/>
      </w:r>
    </w:p>
    <w:p w:rsidR="00803E92" w:rsidRPr="008C78FC" w:rsidRDefault="00803E92" w:rsidP="006F0432">
      <w:pPr>
        <w:pStyle w:val="Naslov1"/>
        <w:numPr>
          <w:ilvl w:val="0"/>
          <w:numId w:val="9"/>
        </w:numPr>
        <w:rPr>
          <w:color w:val="000000"/>
          <w:szCs w:val="24"/>
          <w:lang w:val="hr-HR"/>
        </w:rPr>
      </w:pPr>
      <w:bookmarkStart w:id="6" w:name="_Toc381547530"/>
      <w:r w:rsidRPr="008C78FC">
        <w:rPr>
          <w:lang w:val="hr-HR"/>
        </w:rPr>
        <w:lastRenderedPageBreak/>
        <w:t>Utvrđivanje protu-tržišnog cilja</w:t>
      </w:r>
      <w:r w:rsidR="000D4022">
        <w:rPr>
          <w:lang w:val="hr-HR"/>
        </w:rPr>
        <w:t xml:space="preserve"> – ortodoksni pristup</w:t>
      </w:r>
      <w:bookmarkEnd w:id="6"/>
    </w:p>
    <w:p w:rsidR="00803E92" w:rsidRPr="008C78FC" w:rsidRDefault="00803E92" w:rsidP="00803E92">
      <w:pPr>
        <w:rPr>
          <w:szCs w:val="24"/>
          <w:lang w:val="hr-HR"/>
        </w:rPr>
      </w:pPr>
    </w:p>
    <w:p w:rsidR="00803E92" w:rsidRPr="008C78FC" w:rsidRDefault="00803E92" w:rsidP="00803E92">
      <w:pPr>
        <w:rPr>
          <w:szCs w:val="24"/>
          <w:lang w:val="hr-HR"/>
        </w:rPr>
      </w:pPr>
    </w:p>
    <w:p w:rsidR="000D4022" w:rsidRDefault="00803E92" w:rsidP="000D4022">
      <w:pPr>
        <w:spacing w:line="480" w:lineRule="auto"/>
        <w:ind w:firstLine="360"/>
        <w:rPr>
          <w:lang w:val="hr-HR"/>
        </w:rPr>
      </w:pPr>
      <w:r w:rsidRPr="008C78FC">
        <w:rPr>
          <w:szCs w:val="24"/>
          <w:lang w:val="hr-HR"/>
        </w:rPr>
        <w:t xml:space="preserve">Temeljno obilježje ograničenja tržišnog natjecanja po cilju je da nije potrebno utvrđivati konkretne učinke na tržište, već se njihovo postojanje </w:t>
      </w:r>
      <w:proofErr w:type="spellStart"/>
      <w:r w:rsidRPr="008C78FC">
        <w:rPr>
          <w:szCs w:val="24"/>
          <w:lang w:val="hr-HR"/>
        </w:rPr>
        <w:t>presumira</w:t>
      </w:r>
      <w:proofErr w:type="spellEnd"/>
      <w:r w:rsidRPr="008C78FC">
        <w:rPr>
          <w:szCs w:val="24"/>
          <w:lang w:val="hr-HR"/>
        </w:rPr>
        <w:t xml:space="preserve">. Znamo i da je utvrđivanje cilja nešto jednostavniji postupak nego utvrđivanje učinaka. No to nam još ne govori što analiza cilja nekog konkretnog sporazuma doista podrazumijeva. </w:t>
      </w:r>
      <w:r w:rsidRPr="008C78FC">
        <w:rPr>
          <w:lang w:val="hr-HR"/>
        </w:rPr>
        <w:t>Sud je istaknuo da “određeni oblici suradnje među poduzetnicima su po svojoj prirodni protivni ciljevima prava tržišnog natjecanja”</w:t>
      </w:r>
      <w:r w:rsidRPr="008C78FC">
        <w:rPr>
          <w:rStyle w:val="Referencafusnote"/>
          <w:lang w:val="hr-HR"/>
        </w:rPr>
        <w:footnoteReference w:id="24"/>
      </w:r>
      <w:r w:rsidRPr="008C78FC">
        <w:rPr>
          <w:lang w:val="hr-HR"/>
        </w:rPr>
        <w:t xml:space="preserve"> Iz toga proizlazi da bi sama forma, sadržaj sporazuma mogli ukazati na postojanje protu</w:t>
      </w:r>
      <w:r w:rsidR="001813F9" w:rsidRPr="008C78FC">
        <w:rPr>
          <w:lang w:val="hr-HR"/>
        </w:rPr>
        <w:t>-</w:t>
      </w:r>
      <w:r w:rsidRPr="008C78FC">
        <w:rPr>
          <w:lang w:val="hr-HR"/>
        </w:rPr>
        <w:t>trž</w:t>
      </w:r>
      <w:r w:rsidR="001813F9" w:rsidRPr="008C78FC">
        <w:rPr>
          <w:lang w:val="hr-HR"/>
        </w:rPr>
        <w:t>iš</w:t>
      </w:r>
      <w:r w:rsidRPr="008C78FC">
        <w:rPr>
          <w:lang w:val="hr-HR"/>
        </w:rPr>
        <w:t xml:space="preserve">nog cilja. </w:t>
      </w:r>
    </w:p>
    <w:p w:rsidR="000D4022" w:rsidRDefault="001813F9" w:rsidP="000D4022">
      <w:pPr>
        <w:spacing w:line="480" w:lineRule="auto"/>
        <w:ind w:firstLine="360"/>
        <w:rPr>
          <w:szCs w:val="24"/>
          <w:lang w:val="hr-HR"/>
        </w:rPr>
      </w:pPr>
      <w:r w:rsidRPr="008C78FC">
        <w:rPr>
          <w:szCs w:val="24"/>
          <w:lang w:val="hr-HR"/>
        </w:rPr>
        <w:t xml:space="preserve">Suštinu ovog </w:t>
      </w:r>
      <w:r w:rsidR="00803E92" w:rsidRPr="008C78FC">
        <w:rPr>
          <w:szCs w:val="24"/>
          <w:lang w:val="hr-HR"/>
        </w:rPr>
        <w:t xml:space="preserve">tumačenja je najbolje ilustrirao profesor Richard </w:t>
      </w:r>
      <w:proofErr w:type="spellStart"/>
      <w:r w:rsidR="00803E92" w:rsidRPr="008C78FC">
        <w:rPr>
          <w:szCs w:val="24"/>
          <w:lang w:val="hr-HR"/>
        </w:rPr>
        <w:t>Wish</w:t>
      </w:r>
      <w:proofErr w:type="spellEnd"/>
      <w:r w:rsidR="008D44A6" w:rsidRPr="008C78FC">
        <w:rPr>
          <w:rStyle w:val="Referencafusnote"/>
          <w:szCs w:val="24"/>
          <w:lang w:val="hr-HR"/>
        </w:rPr>
        <w:footnoteReference w:id="25"/>
      </w:r>
      <w:r w:rsidR="00803E92" w:rsidRPr="008C78FC">
        <w:rPr>
          <w:szCs w:val="24"/>
          <w:lang w:val="hr-HR"/>
        </w:rPr>
        <w:t xml:space="preserve"> On, naime, ograničenja po cilja prikazuje kao tzv. „</w:t>
      </w:r>
      <w:proofErr w:type="spellStart"/>
      <w:r w:rsidR="00803E92" w:rsidRPr="008C78FC">
        <w:rPr>
          <w:szCs w:val="24"/>
          <w:lang w:val="hr-HR"/>
        </w:rPr>
        <w:t>object</w:t>
      </w:r>
      <w:proofErr w:type="spellEnd"/>
      <w:r w:rsidR="00803E92" w:rsidRPr="008C78FC">
        <w:rPr>
          <w:szCs w:val="24"/>
          <w:lang w:val="hr-HR"/>
        </w:rPr>
        <w:t xml:space="preserve"> box“, listu osobito ozbiljnih ograničenja tržišnog natjecanja je izraz </w:t>
      </w:r>
      <w:r w:rsidR="008D44A6" w:rsidRPr="008C78FC">
        <w:rPr>
          <w:szCs w:val="24"/>
          <w:lang w:val="hr-HR"/>
        </w:rPr>
        <w:t xml:space="preserve">ekonomske </w:t>
      </w:r>
      <w:r w:rsidR="00803E92" w:rsidRPr="008C78FC">
        <w:rPr>
          <w:szCs w:val="24"/>
          <w:lang w:val="hr-HR"/>
        </w:rPr>
        <w:t xml:space="preserve">politike </w:t>
      </w:r>
      <w:proofErr w:type="spellStart"/>
      <w:r w:rsidR="00803E92" w:rsidRPr="008C78FC">
        <w:rPr>
          <w:szCs w:val="24"/>
          <w:lang w:val="hr-HR"/>
        </w:rPr>
        <w:t>instutucija</w:t>
      </w:r>
      <w:proofErr w:type="spellEnd"/>
      <w:r w:rsidR="00803E92" w:rsidRPr="008C78FC">
        <w:rPr>
          <w:szCs w:val="24"/>
          <w:lang w:val="hr-HR"/>
        </w:rPr>
        <w:t xml:space="preserve"> Europske Unije. Dakle, cilj je određen</w:t>
      </w:r>
      <w:r w:rsidR="000D4022">
        <w:rPr>
          <w:szCs w:val="24"/>
          <w:lang w:val="hr-HR"/>
        </w:rPr>
        <w:t xml:space="preserve"> kao lista određenih ugovornih </w:t>
      </w:r>
      <w:r w:rsidR="00803E92" w:rsidRPr="008C78FC">
        <w:rPr>
          <w:szCs w:val="24"/>
          <w:lang w:val="hr-HR"/>
        </w:rPr>
        <w:t>ograničenja</w:t>
      </w:r>
      <w:r w:rsidR="000D4022">
        <w:rPr>
          <w:szCs w:val="24"/>
          <w:lang w:val="hr-HR"/>
        </w:rPr>
        <w:t xml:space="preserve"> (</w:t>
      </w:r>
      <w:r w:rsidR="00803E92" w:rsidRPr="008C78FC">
        <w:rPr>
          <w:szCs w:val="24"/>
          <w:lang w:val="hr-HR"/>
        </w:rPr>
        <w:t xml:space="preserve">ili oblika koordiniranog djelovanja). </w:t>
      </w:r>
      <w:r w:rsidR="000D4022">
        <w:rPr>
          <w:szCs w:val="24"/>
          <w:lang w:val="hr-HR"/>
        </w:rPr>
        <w:t xml:space="preserve">Kada je određene vrsta sporazuma određena kao ograničenje po cilju, to u pravilu vrijedi za sve buduće situacije. </w:t>
      </w:r>
    </w:p>
    <w:p w:rsidR="000D4022" w:rsidRPr="009E18C5" w:rsidRDefault="000D4022" w:rsidP="009E18C5">
      <w:pPr>
        <w:spacing w:line="480" w:lineRule="auto"/>
        <w:ind w:firstLine="708"/>
        <w:rPr>
          <w:lang w:val="hr-HR"/>
        </w:rPr>
      </w:pPr>
      <w:r w:rsidRPr="008C78FC">
        <w:rPr>
          <w:lang w:val="hr-HR"/>
        </w:rPr>
        <w:t xml:space="preserve">U </w:t>
      </w:r>
      <w:r w:rsidRPr="008C78FC">
        <w:rPr>
          <w:i/>
          <w:lang w:val="hr-HR"/>
        </w:rPr>
        <w:t>Smjernicama za primjenu članka 101(3)</w:t>
      </w:r>
      <w:r w:rsidRPr="008C78FC">
        <w:rPr>
          <w:rStyle w:val="Referencafusnote"/>
          <w:i/>
          <w:lang w:val="hr-HR"/>
        </w:rPr>
        <w:footnoteReference w:id="26"/>
      </w:r>
      <w:r w:rsidRPr="008C78FC">
        <w:rPr>
          <w:i/>
          <w:lang w:val="hr-HR"/>
        </w:rPr>
        <w:t xml:space="preserve"> Komisija </w:t>
      </w:r>
      <w:r w:rsidRPr="008C78FC">
        <w:rPr>
          <w:lang w:val="hr-HR"/>
        </w:rPr>
        <w:t xml:space="preserve">zastupa stajalište da se pretpostavka o nužnim učincima ograničenja po cilju </w:t>
      </w:r>
      <w:r w:rsidRPr="008C78FC">
        <w:rPr>
          <w:color w:val="000000"/>
          <w:sz w:val="23"/>
          <w:szCs w:val="23"/>
          <w:lang w:val="hr-HR"/>
        </w:rPr>
        <w:t xml:space="preserve">“temelji na ozbiljnoj prirodi ograničenja te na iskustvu koje pokazuje da je vjerojatno da će ograničenja tržišnog natjecanja prema cilju proizvesti negativne učinke na tržištu i ugroziti ciljeve kojima teže pravila Zajednice u području </w:t>
      </w:r>
      <w:r w:rsidRPr="008C78FC">
        <w:rPr>
          <w:color w:val="000000"/>
          <w:sz w:val="23"/>
          <w:szCs w:val="23"/>
          <w:lang w:val="hr-HR"/>
        </w:rPr>
        <w:lastRenderedPageBreak/>
        <w:t>tržišnog natjecanja”</w:t>
      </w:r>
      <w:r w:rsidRPr="008C78FC">
        <w:rPr>
          <w:rStyle w:val="Referencafusnote"/>
          <w:color w:val="000000"/>
          <w:sz w:val="23"/>
          <w:szCs w:val="23"/>
          <w:lang w:val="hr-HR"/>
        </w:rPr>
        <w:footnoteReference w:id="27"/>
      </w:r>
      <w:r w:rsidRPr="008C78FC">
        <w:rPr>
          <w:color w:val="000000"/>
          <w:sz w:val="23"/>
          <w:szCs w:val="23"/>
          <w:lang w:val="hr-HR"/>
        </w:rPr>
        <w:t xml:space="preserve"> Ukoliko je iskustvo nužno, da li to znači da bi se određena kategorija sporazuma tretirala kao ograničenje po cilju je nužno da postoji bogata i dosljedna praksa u kojoj se takva ograničenja tretirala kao potencijalno restriktivna te utvrđivali njihovi učinci. U skladu s tim, nakon što je u dovoljno individualnih predmeta došli do zaključka da određena vrsta ugovornog ograničenja ima za svoju posljedici ograničenje tržišnog natjecanja, može se ustanoviti presumpcija.  No, u praksi Suda se ne može pronaći potvrda za takav zaključak. Sud je definirao određene kategorije sporazuma kao inherentno restriktivne i kada je po prvi puta odlučivao o njihovoj valjanosti u kontekstu prava tržišnog natjecanja. I da se uzme u obzir da Sud da obraća pažnju i na iskustvo u pravu tržišnog natjecanja drugih sustava, ponajprije američkog, ne možemo doći do zaključka da iza svake presumpcije negativnih učinaka stoji iskustvo. Iako Komisija u svojim </w:t>
      </w:r>
      <w:r w:rsidRPr="008C78FC">
        <w:rPr>
          <w:i/>
          <w:color w:val="000000"/>
          <w:sz w:val="23"/>
          <w:szCs w:val="23"/>
          <w:lang w:val="hr-HR"/>
        </w:rPr>
        <w:t xml:space="preserve">Smjernica za primjenu članka 101(3). </w:t>
      </w:r>
      <w:r w:rsidRPr="008C78FC">
        <w:rPr>
          <w:color w:val="000000"/>
          <w:sz w:val="23"/>
          <w:szCs w:val="23"/>
          <w:lang w:val="hr-HR"/>
        </w:rPr>
        <w:t>izričito ne spominje ekonomsku teoriju, analizom obrazloženja je jasno da do zaključka o prirodi pojedinih kategorija sporazuma Sud i Komisija su nužno inspirirani i određenim ekonomskim modelima.</w:t>
      </w:r>
      <w:r w:rsidRPr="008C78FC">
        <w:rPr>
          <w:rStyle w:val="Referencafusnote"/>
          <w:color w:val="000000"/>
          <w:sz w:val="23"/>
          <w:szCs w:val="23"/>
          <w:lang w:val="hr-HR"/>
        </w:rPr>
        <w:footnoteReference w:id="28"/>
      </w:r>
    </w:p>
    <w:p w:rsidR="00FE4DCB" w:rsidRDefault="000D4022" w:rsidP="000D4022">
      <w:pPr>
        <w:spacing w:line="480" w:lineRule="auto"/>
        <w:ind w:firstLine="360"/>
        <w:rPr>
          <w:szCs w:val="24"/>
          <w:lang w:val="hr-HR"/>
        </w:rPr>
      </w:pPr>
      <w:r>
        <w:rPr>
          <w:szCs w:val="24"/>
          <w:lang w:val="hr-HR"/>
        </w:rPr>
        <w:t xml:space="preserve">Primjenjujući </w:t>
      </w:r>
      <w:proofErr w:type="spellStart"/>
      <w:r>
        <w:rPr>
          <w:szCs w:val="24"/>
          <w:lang w:val="hr-HR"/>
        </w:rPr>
        <w:t>ortodoksi</w:t>
      </w:r>
      <w:proofErr w:type="spellEnd"/>
      <w:r>
        <w:rPr>
          <w:szCs w:val="24"/>
          <w:lang w:val="hr-HR"/>
        </w:rPr>
        <w:t xml:space="preserve"> pristup</w:t>
      </w:r>
      <w:r w:rsidR="00803E92" w:rsidRPr="008C78FC">
        <w:rPr>
          <w:szCs w:val="24"/>
          <w:lang w:val="hr-HR"/>
        </w:rPr>
        <w:t xml:space="preserve">, analiza cilja sporazuma </w:t>
      </w:r>
      <w:r>
        <w:rPr>
          <w:szCs w:val="24"/>
          <w:lang w:val="hr-HR"/>
        </w:rPr>
        <w:t xml:space="preserve">u individualnom slučaju </w:t>
      </w:r>
      <w:r w:rsidR="00803E92" w:rsidRPr="008C78FC">
        <w:rPr>
          <w:szCs w:val="24"/>
          <w:lang w:val="hr-HR"/>
        </w:rPr>
        <w:t xml:space="preserve">obuhvaća tek </w:t>
      </w:r>
      <w:r w:rsidR="00803E92" w:rsidRPr="008C78FC">
        <w:rPr>
          <w:i/>
          <w:szCs w:val="24"/>
          <w:lang w:val="hr-HR"/>
        </w:rPr>
        <w:t xml:space="preserve">identifikaciju </w:t>
      </w:r>
      <w:r w:rsidR="00803E92" w:rsidRPr="008C78FC">
        <w:rPr>
          <w:szCs w:val="24"/>
          <w:lang w:val="hr-HR"/>
        </w:rPr>
        <w:t xml:space="preserve">postojanja takvih ograničenja po cilju. Prema tome, činjenična analiza bi bila relativno jednostavna. </w:t>
      </w:r>
      <w:r>
        <w:rPr>
          <w:szCs w:val="24"/>
          <w:lang w:val="hr-HR"/>
        </w:rPr>
        <w:t>A</w:t>
      </w:r>
      <w:r w:rsidR="00803E92" w:rsidRPr="008C78FC">
        <w:rPr>
          <w:szCs w:val="24"/>
          <w:lang w:val="hr-HR"/>
        </w:rPr>
        <w:t>na</w:t>
      </w:r>
      <w:r>
        <w:rPr>
          <w:szCs w:val="24"/>
          <w:lang w:val="hr-HR"/>
        </w:rPr>
        <w:t>lizom samo sadržaja ugovora mo</w:t>
      </w:r>
      <w:r w:rsidR="00803E92" w:rsidRPr="008C78FC">
        <w:rPr>
          <w:szCs w:val="24"/>
          <w:lang w:val="hr-HR"/>
        </w:rPr>
        <w:t xml:space="preserve">že se utvrditi da li postoji ograničenje tržišnog natjecanja. </w:t>
      </w:r>
      <w:r w:rsidR="00CD4D42" w:rsidRPr="008C78FC">
        <w:rPr>
          <w:lang w:val="hr-HR"/>
        </w:rPr>
        <w:t xml:space="preserve">Ovisno o obliku sporazuma to može predstavljati donekle izazovan pothvat u dokaznom postupku. Što je sporazum ozbiljniji, u pravilu će biti manje izravnih dokaza </w:t>
      </w:r>
      <w:r w:rsidR="008C78FC">
        <w:rPr>
          <w:lang w:val="hr-HR"/>
        </w:rPr>
        <w:t xml:space="preserve">o </w:t>
      </w:r>
      <w:r w:rsidR="00CD4D42" w:rsidRPr="008C78FC">
        <w:rPr>
          <w:lang w:val="hr-HR"/>
        </w:rPr>
        <w:t xml:space="preserve">protu-tržišnom dogovoru. Naime, tzv. “goli karteli” će rijetko iza sebe ostavljati neposredne dokaze, a još manje pisane podneske. S druge strane, ponekad i formalne komponente sporazuma nužno ne pokazuju jasno sadržaj sporazuma. U tim slučajevima nadležno tijelo, da bi utvrdile što su stranke dogovorile, uzeti u obzir i način na </w:t>
      </w:r>
      <w:r w:rsidR="00CD4D42" w:rsidRPr="008C78FC">
        <w:rPr>
          <w:lang w:val="hr-HR"/>
        </w:rPr>
        <w:lastRenderedPageBreak/>
        <w:t>koji se sporazum primjenjuje</w:t>
      </w:r>
      <w:r w:rsidR="0099719D" w:rsidRPr="008C78FC">
        <w:rPr>
          <w:rStyle w:val="Referencafusnote"/>
          <w:lang w:val="hr-HR"/>
        </w:rPr>
        <w:footnoteReference w:id="29"/>
      </w:r>
      <w:r w:rsidR="00CD4D42" w:rsidRPr="008C78FC">
        <w:rPr>
          <w:lang w:val="hr-HR"/>
        </w:rPr>
        <w:t xml:space="preserve">. </w:t>
      </w:r>
      <w:r w:rsidR="00E7138D" w:rsidRPr="008C78FC">
        <w:rPr>
          <w:szCs w:val="24"/>
          <w:lang w:val="hr-HR"/>
        </w:rPr>
        <w:t xml:space="preserve">Nešto složenija situacija je u </w:t>
      </w:r>
      <w:r w:rsidR="00E7138D">
        <w:rPr>
          <w:szCs w:val="24"/>
          <w:lang w:val="hr-HR"/>
        </w:rPr>
        <w:t xml:space="preserve">i </w:t>
      </w:r>
      <w:r w:rsidR="00E7138D" w:rsidRPr="008C78FC">
        <w:rPr>
          <w:szCs w:val="24"/>
          <w:lang w:val="hr-HR"/>
        </w:rPr>
        <w:t xml:space="preserve">slučaju </w:t>
      </w:r>
      <w:r w:rsidR="00E7138D">
        <w:rPr>
          <w:szCs w:val="24"/>
          <w:lang w:val="hr-HR"/>
        </w:rPr>
        <w:t xml:space="preserve">protu-tržnih </w:t>
      </w:r>
      <w:r w:rsidR="00E7138D" w:rsidRPr="008C78FC">
        <w:rPr>
          <w:szCs w:val="24"/>
          <w:lang w:val="hr-HR"/>
        </w:rPr>
        <w:t xml:space="preserve">koordinacija kada nema formalnog ugovora. U tom slučaju, na temelju postupaka stranaka treba se </w:t>
      </w:r>
      <w:r w:rsidR="00E7138D">
        <w:rPr>
          <w:szCs w:val="24"/>
          <w:lang w:val="hr-HR"/>
        </w:rPr>
        <w:t>utvrditi sadržaj koordinacija.</w:t>
      </w:r>
    </w:p>
    <w:p w:rsidR="00E7138D" w:rsidRPr="008C78FC" w:rsidRDefault="00E7138D" w:rsidP="00E7138D">
      <w:pPr>
        <w:spacing w:line="480" w:lineRule="auto"/>
        <w:ind w:firstLine="708"/>
        <w:rPr>
          <w:lang w:val="hr-HR"/>
        </w:rPr>
      </w:pPr>
      <w:r>
        <w:rPr>
          <w:lang w:val="hr-HR"/>
        </w:rPr>
        <w:t xml:space="preserve">Sljedeće pitanje je kako se formira lista inherentno zabranjenih sporazuma? </w:t>
      </w:r>
      <w:r w:rsidRPr="008C78FC">
        <w:rPr>
          <w:lang w:val="hr-HR"/>
        </w:rPr>
        <w:t xml:space="preserve">U </w:t>
      </w:r>
      <w:r w:rsidRPr="008C78FC">
        <w:rPr>
          <w:i/>
          <w:lang w:val="hr-HR"/>
        </w:rPr>
        <w:t>Smjernicama za primjenu članka 101(3)</w:t>
      </w:r>
      <w:r w:rsidRPr="008C78FC">
        <w:rPr>
          <w:rStyle w:val="Referencafusnote"/>
          <w:i/>
          <w:lang w:val="hr-HR"/>
        </w:rPr>
        <w:footnoteReference w:id="30"/>
      </w:r>
      <w:r w:rsidRPr="008C78FC">
        <w:rPr>
          <w:i/>
          <w:lang w:val="hr-HR"/>
        </w:rPr>
        <w:t xml:space="preserve"> Komisija </w:t>
      </w:r>
      <w:r w:rsidRPr="008C78FC">
        <w:rPr>
          <w:lang w:val="hr-HR"/>
        </w:rPr>
        <w:t xml:space="preserve">zastupa stajalište da se pretpostavka o nužnim učincima ograničenja po cilju </w:t>
      </w:r>
      <w:r w:rsidRPr="008C78FC">
        <w:rPr>
          <w:color w:val="000000"/>
          <w:sz w:val="23"/>
          <w:szCs w:val="23"/>
          <w:lang w:val="hr-HR"/>
        </w:rPr>
        <w:t>“temelji na ozbiljnoj prirodi ograničenja te na iskustvu koje pokazuje da je vjerojatno da će ograničenja tržišnog natjecanja prema cilju proizvesti negativne učinke na tržištu i ugroziti ciljeve kojima teže pravila Zajednice u području tržišnog natjecanja”</w:t>
      </w:r>
      <w:r w:rsidRPr="008C78FC">
        <w:rPr>
          <w:rStyle w:val="Referencafusnote"/>
          <w:color w:val="000000"/>
          <w:sz w:val="23"/>
          <w:szCs w:val="23"/>
          <w:lang w:val="hr-HR"/>
        </w:rPr>
        <w:footnoteReference w:id="31"/>
      </w:r>
      <w:r w:rsidRPr="008C78FC">
        <w:rPr>
          <w:color w:val="000000"/>
          <w:sz w:val="23"/>
          <w:szCs w:val="23"/>
          <w:lang w:val="hr-HR"/>
        </w:rPr>
        <w:t xml:space="preserve"> Ukoliko je iskustvo nužno, da li to znači da bi se određena kategorija sporazuma tretirala kao ograničenje po cilju je nužno da postoji bogata i dosljedna praksa u kojoj se takva ograničenja tretirala kao potencijalno restriktivna te utvrđivali njihovi učinci. U skladu s tim, nakon što je u dovoljno individualnih predmeta došli do zaključka da određena vrsta ugovornog ograničenja ima za svoju posljedici ograničenje tržišnog natjecanja, može se ustanoviti presumpcija.  No, u praksi Suda se ne može pronaći potvrda za takav zaključak. Sud je definirao određene kategorije sporazuma kao inherentno restriktivne i kada je po prvi puta odlučivao o njihovoj valjanosti u kontekstu prava tržišnog natjecanja. I da se uzme u obzir da Sud da obraća pažnju i na iskustvo u pravu tržišnog natjecanja drugih sustava, ponajprije američkog, ne možemo doći do zaključka da iza svake presumpcije negativnih učinaka stoji iskustvo. Iako Komisija u svojim </w:t>
      </w:r>
      <w:r w:rsidRPr="008C78FC">
        <w:rPr>
          <w:i/>
          <w:color w:val="000000"/>
          <w:sz w:val="23"/>
          <w:szCs w:val="23"/>
          <w:lang w:val="hr-HR"/>
        </w:rPr>
        <w:t xml:space="preserve">Smjernica za primjenu članka 101(3). </w:t>
      </w:r>
      <w:r w:rsidRPr="008C78FC">
        <w:rPr>
          <w:color w:val="000000"/>
          <w:sz w:val="23"/>
          <w:szCs w:val="23"/>
          <w:lang w:val="hr-HR"/>
        </w:rPr>
        <w:t xml:space="preserve">izričito ne spominje ekonomsku teoriju, analizom </w:t>
      </w:r>
      <w:r w:rsidRPr="008C78FC">
        <w:rPr>
          <w:color w:val="000000"/>
          <w:sz w:val="23"/>
          <w:szCs w:val="23"/>
          <w:lang w:val="hr-HR"/>
        </w:rPr>
        <w:lastRenderedPageBreak/>
        <w:t>obrazloženja je jasno da do zaključka o prirodi pojedinih kategorija sporazuma Sud i Komisija su nužno inspirirani i određenim ekonomskim modelima.</w:t>
      </w:r>
      <w:r w:rsidRPr="008C78FC">
        <w:rPr>
          <w:rStyle w:val="Referencafusnote"/>
          <w:color w:val="000000"/>
          <w:sz w:val="23"/>
          <w:szCs w:val="23"/>
          <w:lang w:val="hr-HR"/>
        </w:rPr>
        <w:footnoteReference w:id="32"/>
      </w:r>
    </w:p>
    <w:p w:rsidR="00E7138D" w:rsidRPr="008C78FC" w:rsidRDefault="00E7138D" w:rsidP="00E7138D">
      <w:pPr>
        <w:pStyle w:val="Naslov2"/>
        <w:rPr>
          <w:lang w:val="hr-HR"/>
        </w:rPr>
      </w:pPr>
      <w:bookmarkStart w:id="7" w:name="_Toc381547531"/>
      <w:r>
        <w:rPr>
          <w:lang w:val="hr-HR"/>
        </w:rPr>
        <w:t>Lista zabranjenih sporazuma</w:t>
      </w:r>
      <w:bookmarkEnd w:id="7"/>
    </w:p>
    <w:p w:rsidR="00E7138D" w:rsidRDefault="00E7138D" w:rsidP="003630B4">
      <w:pPr>
        <w:spacing w:line="480" w:lineRule="auto"/>
        <w:ind w:firstLine="708"/>
        <w:rPr>
          <w:lang w:val="hr-HR"/>
        </w:rPr>
      </w:pPr>
    </w:p>
    <w:p w:rsidR="004F79D1" w:rsidRPr="008C78FC" w:rsidRDefault="004F79D1" w:rsidP="003630B4">
      <w:pPr>
        <w:spacing w:line="480" w:lineRule="auto"/>
        <w:ind w:firstLine="708"/>
        <w:rPr>
          <w:lang w:val="hr-HR"/>
        </w:rPr>
      </w:pPr>
      <w:r w:rsidRPr="008C78FC">
        <w:rPr>
          <w:lang w:val="hr-HR"/>
        </w:rPr>
        <w:t>Tumačenjem koncepta ograničenja tržišnog natjecanja, sudovi Europske Unije se često referiraju na listu primjera potencijalno protu-tržnih sporazuma iz članka 101(1) (a)-(e)</w:t>
      </w:r>
      <w:r w:rsidR="008360D1" w:rsidRPr="008C78FC">
        <w:rPr>
          <w:lang w:val="hr-HR"/>
        </w:rPr>
        <w:t>. Ta lista sudovima služi</w:t>
      </w:r>
      <w:r w:rsidR="003630B4" w:rsidRPr="008C78FC">
        <w:rPr>
          <w:lang w:val="hr-HR"/>
        </w:rPr>
        <w:t xml:space="preserve"> kao korisna </w:t>
      </w:r>
      <w:r w:rsidR="008360D1" w:rsidRPr="008C78FC">
        <w:rPr>
          <w:lang w:val="hr-HR"/>
        </w:rPr>
        <w:t>reference</w:t>
      </w:r>
      <w:r w:rsidR="003630B4" w:rsidRPr="008C78FC">
        <w:rPr>
          <w:lang w:val="hr-HR"/>
        </w:rPr>
        <w:t xml:space="preserve"> i privi koraka koji ukazuje da postoji sporazum inherentno suprotan načelima tržišnog natjecanja</w:t>
      </w:r>
      <w:r w:rsidRPr="008C78FC">
        <w:rPr>
          <w:rStyle w:val="Referencafusnote"/>
          <w:lang w:val="hr-HR"/>
        </w:rPr>
        <w:footnoteReference w:id="33"/>
      </w:r>
      <w:r w:rsidR="003630B4" w:rsidRPr="008C78FC">
        <w:rPr>
          <w:lang w:val="hr-HR"/>
        </w:rPr>
        <w:t xml:space="preserve">. Pozivaju </w:t>
      </w:r>
      <w:proofErr w:type="spellStart"/>
      <w:r w:rsidR="003630B4" w:rsidRPr="008C78FC">
        <w:rPr>
          <w:lang w:val="hr-HR"/>
        </w:rPr>
        <w:t>ći</w:t>
      </w:r>
      <w:proofErr w:type="spellEnd"/>
      <w:r w:rsidR="003630B4" w:rsidRPr="008C78FC">
        <w:rPr>
          <w:lang w:val="hr-HR"/>
        </w:rPr>
        <w:t xml:space="preserve"> se upravo na članak 101(1) (a)-(c) </w:t>
      </w:r>
      <w:r w:rsidRPr="008C78FC">
        <w:rPr>
          <w:lang w:val="hr-HR"/>
        </w:rPr>
        <w:t xml:space="preserve">Sud Prve Instance u </w:t>
      </w:r>
      <w:proofErr w:type="spellStart"/>
      <w:r w:rsidRPr="008C78FC">
        <w:rPr>
          <w:i/>
          <w:lang w:val="hr-HR"/>
        </w:rPr>
        <w:t>EuropeanNightServices</w:t>
      </w:r>
      <w:proofErr w:type="spellEnd"/>
      <w:r w:rsidRPr="008C78FC">
        <w:rPr>
          <w:rStyle w:val="Referencafusnote"/>
          <w:i/>
          <w:lang w:val="hr-HR"/>
        </w:rPr>
        <w:footnoteReference w:id="34"/>
      </w:r>
      <w:r w:rsidR="003630B4" w:rsidRPr="008C78FC">
        <w:rPr>
          <w:lang w:val="hr-HR"/>
        </w:rPr>
        <w:t>je kao očita ograničenja tržišnog natjecanja, u vezi kojih nije potrebno utvrđivati stvarne učinke na tržište, naveo</w:t>
      </w:r>
      <w:r w:rsidR="005B0ACD" w:rsidRPr="008C78FC">
        <w:rPr>
          <w:lang w:val="hr-HR"/>
        </w:rPr>
        <w:t xml:space="preserve"> sporazum</w:t>
      </w:r>
      <w:r w:rsidRPr="008C78FC">
        <w:rPr>
          <w:lang w:val="hr-HR"/>
        </w:rPr>
        <w:t xml:space="preserve"> među konkurentima kojim se određuju cijene, dijeli tržište te ograničava izvor zabranjeni neovisno o svom učinku na tržišno natjecanje. Iako se kod razmjene informacija najčešće utvrđuje učinci na tržišno natjecanje, Sud je u predmetu </w:t>
      </w:r>
      <w:r w:rsidRPr="008C78FC">
        <w:rPr>
          <w:i/>
          <w:lang w:val="hr-HR"/>
        </w:rPr>
        <w:t>T-Mobile</w:t>
      </w:r>
      <w:r w:rsidRPr="008C78FC">
        <w:rPr>
          <w:rStyle w:val="Referencafusnote"/>
          <w:i/>
          <w:lang w:val="hr-HR"/>
        </w:rPr>
        <w:footnoteReference w:id="35"/>
      </w:r>
      <w:r w:rsidRPr="008C78FC">
        <w:rPr>
          <w:lang w:val="hr-HR"/>
        </w:rPr>
        <w:t xml:space="preserve"> istaknuo da razmjena informacija među konkurentima o budućim cijenama je po svom cilju protivna tržišnom natjecanju. </w:t>
      </w:r>
      <w:r w:rsidR="003630B4" w:rsidRPr="008C78FC">
        <w:rPr>
          <w:lang w:val="hr-HR"/>
        </w:rPr>
        <w:t xml:space="preserve">Iako vertikalni sporazum, dakle sporazuma među poduzetnicima koji se nalaze na različitim razinama proizvodnje, sami po sebi imaju manji potencijal za restrikciju tržišnog natjecanja, Sud je prepoznao da i oni mogu biti inherentno protivni ciljevima iz Ugovora. Među zabranjenim sporazumima ponajprije spadaju oni kojima se distributerima daje </w:t>
      </w:r>
      <w:r w:rsidR="003630B4" w:rsidRPr="008C78FC">
        <w:rPr>
          <w:lang w:val="hr-HR"/>
        </w:rPr>
        <w:lastRenderedPageBreak/>
        <w:t>isključivo područje prodaje tzv. apsolutna teritorijalna zaštita</w:t>
      </w:r>
      <w:r w:rsidR="003630B4" w:rsidRPr="008C78FC">
        <w:rPr>
          <w:rStyle w:val="Referencafusnote"/>
          <w:lang w:val="hr-HR"/>
        </w:rPr>
        <w:footnoteReference w:id="36"/>
      </w:r>
      <w:r w:rsidR="003630B4" w:rsidRPr="008C78FC">
        <w:rPr>
          <w:lang w:val="hr-HR"/>
        </w:rPr>
        <w:t xml:space="preserve">. Zabranjeno je i utvrđivanje </w:t>
      </w:r>
      <w:r w:rsidR="008360D1" w:rsidRPr="008C78FC">
        <w:rPr>
          <w:lang w:val="hr-HR"/>
        </w:rPr>
        <w:t>preprodanih</w:t>
      </w:r>
      <w:r w:rsidR="003630B4" w:rsidRPr="008C78FC">
        <w:rPr>
          <w:lang w:val="hr-HR"/>
        </w:rPr>
        <w:t xml:space="preserve"> cijena (engl</w:t>
      </w:r>
      <w:r w:rsidR="003E64E4" w:rsidRPr="008C78FC">
        <w:rPr>
          <w:lang w:val="hr-HR"/>
        </w:rPr>
        <w:t xml:space="preserve">. </w:t>
      </w:r>
      <w:proofErr w:type="spellStart"/>
      <w:r w:rsidR="003E64E4" w:rsidRPr="008C78FC">
        <w:rPr>
          <w:lang w:val="hr-HR"/>
        </w:rPr>
        <w:t>Resale</w:t>
      </w:r>
      <w:proofErr w:type="spellEnd"/>
      <w:r w:rsidR="003E64E4" w:rsidRPr="008C78FC">
        <w:rPr>
          <w:lang w:val="hr-HR"/>
        </w:rPr>
        <w:t xml:space="preserve"> </w:t>
      </w:r>
      <w:proofErr w:type="spellStart"/>
      <w:r w:rsidR="003E64E4" w:rsidRPr="008C78FC">
        <w:rPr>
          <w:lang w:val="hr-HR"/>
        </w:rPr>
        <w:t>price</w:t>
      </w:r>
      <w:proofErr w:type="spellEnd"/>
      <w:r w:rsidR="003E64E4" w:rsidRPr="008C78FC">
        <w:rPr>
          <w:lang w:val="hr-HR"/>
        </w:rPr>
        <w:t xml:space="preserve"> </w:t>
      </w:r>
      <w:proofErr w:type="spellStart"/>
      <w:r w:rsidR="003E64E4" w:rsidRPr="008C78FC">
        <w:rPr>
          <w:lang w:val="hr-HR"/>
        </w:rPr>
        <w:t>mantaince</w:t>
      </w:r>
      <w:proofErr w:type="spellEnd"/>
      <w:r w:rsidR="003E64E4" w:rsidRPr="008C78FC">
        <w:rPr>
          <w:lang w:val="hr-HR"/>
        </w:rPr>
        <w:t>)</w:t>
      </w:r>
      <w:r w:rsidR="003630B4" w:rsidRPr="008C78FC">
        <w:rPr>
          <w:rStyle w:val="Referencafusnote"/>
          <w:lang w:val="hr-HR"/>
        </w:rPr>
        <w:footnoteReference w:id="37"/>
      </w:r>
    </w:p>
    <w:p w:rsidR="00D6304A" w:rsidRDefault="004F79D1" w:rsidP="00D6304A">
      <w:pPr>
        <w:spacing w:line="480" w:lineRule="auto"/>
        <w:ind w:firstLine="708"/>
        <w:rPr>
          <w:lang w:val="hr-HR"/>
        </w:rPr>
      </w:pPr>
      <w:r w:rsidRPr="008C78FC">
        <w:rPr>
          <w:lang w:val="hr-HR"/>
        </w:rPr>
        <w:t xml:space="preserve">Postoji određeno nesuglasje u literaturi o tome da li se </w:t>
      </w:r>
      <w:r w:rsidR="008360D1" w:rsidRPr="008C78FC">
        <w:rPr>
          <w:lang w:val="hr-HR"/>
        </w:rPr>
        <w:t>posljednja</w:t>
      </w:r>
      <w:r w:rsidRPr="008C78FC">
        <w:rPr>
          <w:lang w:val="hr-HR"/>
        </w:rPr>
        <w:t xml:space="preserve"> dva primjera u članku 101(1) trebaju tretirati kao ograničenja po cilju</w:t>
      </w:r>
      <w:r w:rsidRPr="008C78FC">
        <w:rPr>
          <w:rStyle w:val="Referencafusnote"/>
          <w:lang w:val="hr-HR"/>
        </w:rPr>
        <w:footnoteReference w:id="38"/>
      </w:r>
      <w:r w:rsidR="005B0ACD" w:rsidRPr="008C78FC">
        <w:rPr>
          <w:lang w:val="hr-HR"/>
        </w:rPr>
        <w:t>. Ne postoji mnogo</w:t>
      </w:r>
      <w:r w:rsidRPr="008C78FC">
        <w:rPr>
          <w:lang w:val="hr-HR"/>
        </w:rPr>
        <w:t xml:space="preserve"> prakse u kojima </w:t>
      </w:r>
      <w:r w:rsidR="005B0ACD" w:rsidRPr="008C78FC">
        <w:rPr>
          <w:lang w:val="hr-HR"/>
        </w:rPr>
        <w:t>se primjenjuju te dvije odredbe</w:t>
      </w:r>
      <w:r w:rsidRPr="008C78FC">
        <w:rPr>
          <w:lang w:val="hr-HR"/>
        </w:rPr>
        <w:t xml:space="preserve"> o zabrani diskriminatorne politike i povezane kupnje/prodaje. Sud je nedavno u predmetu </w:t>
      </w:r>
      <w:r w:rsidRPr="008C78FC">
        <w:rPr>
          <w:i/>
          <w:lang w:val="hr-HR"/>
        </w:rPr>
        <w:t>GlaxoSmithKline</w:t>
      </w:r>
      <w:r w:rsidRPr="008C78FC">
        <w:rPr>
          <w:rStyle w:val="Referencafusnote"/>
          <w:i/>
          <w:lang w:val="hr-HR"/>
        </w:rPr>
        <w:footnoteReference w:id="39"/>
      </w:r>
      <w:r w:rsidRPr="008C78FC">
        <w:rPr>
          <w:lang w:val="hr-HR"/>
        </w:rPr>
        <w:t>imao priliku odlučiti o tome da li primjena, u tom slučaju, diskriminatorne politike pri utvrđivanju cijena ima za svoj cilj ograničenje tržišnog natjecanja. Sud je doista zaključio da takvi sporazumi imaju za cilj ograničenje tržišno</w:t>
      </w:r>
      <w:r w:rsidR="005B0ACD" w:rsidRPr="008C78FC">
        <w:rPr>
          <w:lang w:val="hr-HR"/>
        </w:rPr>
        <w:t>g</w:t>
      </w:r>
      <w:r w:rsidRPr="008C78FC">
        <w:rPr>
          <w:lang w:val="hr-HR"/>
        </w:rPr>
        <w:t xml:space="preserve"> natjecanja, ali svoju odluku nije obrazložio diskriminatornom prirodom mjere. Naime, primjena dvostruke politike utvrđivanja cijena se koristila kao alat za ograničenje izvoza proizvoda u drugu zemlju članicu. Što se tiče povezane prodaje/kupnje (engl. </w:t>
      </w:r>
      <w:proofErr w:type="spellStart"/>
      <w:r w:rsidRPr="008C78FC">
        <w:rPr>
          <w:lang w:val="hr-HR"/>
        </w:rPr>
        <w:t>Tie</w:t>
      </w:r>
      <w:proofErr w:type="spellEnd"/>
      <w:r w:rsidRPr="008C78FC">
        <w:rPr>
          <w:lang w:val="hr-HR"/>
        </w:rPr>
        <w:t>-</w:t>
      </w:r>
      <w:proofErr w:type="spellStart"/>
      <w:r w:rsidRPr="008C78FC">
        <w:rPr>
          <w:lang w:val="hr-HR"/>
        </w:rPr>
        <w:t>in</w:t>
      </w:r>
      <w:proofErr w:type="spellEnd"/>
      <w:r w:rsidRPr="008C78FC">
        <w:rPr>
          <w:lang w:val="hr-HR"/>
        </w:rPr>
        <w:t>) u ekonomskoj teoriji je u pravilu uvjet da bi takvi sporazumi mogli prouzročiti negativne učinke na tržišno natjecanja samo ukoliko stranke imaju snagu na tržištu</w:t>
      </w:r>
      <w:r w:rsidRPr="008C78FC">
        <w:rPr>
          <w:rStyle w:val="Referencafusnote"/>
          <w:lang w:val="hr-HR"/>
        </w:rPr>
        <w:footnoteReference w:id="40"/>
      </w:r>
      <w:r w:rsidRPr="008C78FC">
        <w:rPr>
          <w:lang w:val="hr-HR"/>
        </w:rPr>
        <w:t>. Iz tog razloga će u pravilu nužno biti provesti barem analizu strukture tržišta prije nego što se donese konačni zaključ</w:t>
      </w:r>
      <w:r w:rsidR="005B0ACD" w:rsidRPr="008C78FC">
        <w:rPr>
          <w:lang w:val="hr-HR"/>
        </w:rPr>
        <w:t>ak o valjanosti takve odredbe.</w:t>
      </w:r>
      <w:r w:rsidRPr="008C78FC">
        <w:rPr>
          <w:lang w:val="hr-HR"/>
        </w:rPr>
        <w:t xml:space="preserve"> Iako je utvrđenje da li konkretni sporazum ima za svoj cilj ograničenje tržišnog natjecanja činjenično pitanje, određivanje sadržaja i okvira pravne kategorije ‘ograničenja po cilju je nužno pravno pitanje’. Tumačenje europskog prava je u nadležnosti Suda i upravo je on odrediti sadržaj takozvane </w:t>
      </w:r>
      <w:proofErr w:type="spellStart"/>
      <w:r w:rsidRPr="008C78FC">
        <w:rPr>
          <w:i/>
          <w:lang w:val="hr-HR"/>
        </w:rPr>
        <w:t>object</w:t>
      </w:r>
      <w:proofErr w:type="spellEnd"/>
      <w:r w:rsidRPr="008C78FC">
        <w:rPr>
          <w:i/>
          <w:lang w:val="hr-HR"/>
        </w:rPr>
        <w:t xml:space="preserve"> box. </w:t>
      </w:r>
      <w:r w:rsidRPr="008C78FC">
        <w:rPr>
          <w:lang w:val="hr-HR"/>
        </w:rPr>
        <w:t xml:space="preserve">U svojoj praski Sud i Opći Sud su utvrdili određene kategorije ugovornih ograničenja za koje se smatra da imaju za </w:t>
      </w:r>
      <w:r w:rsidRPr="008C78FC">
        <w:rPr>
          <w:lang w:val="hr-HR"/>
        </w:rPr>
        <w:lastRenderedPageBreak/>
        <w:t>svoj cilj ograničenje tržišnog natjecanja. Bitno je istaknuti, da iako u europsko  pravu ne postoji sustav presedana, Sud se u pravilu teži dosljednosti</w:t>
      </w:r>
      <w:r w:rsidRPr="008C78FC">
        <w:rPr>
          <w:rStyle w:val="Referencafusnote"/>
          <w:i/>
          <w:lang w:val="hr-HR"/>
        </w:rPr>
        <w:footnoteReference w:id="41"/>
      </w:r>
      <w:r w:rsidRPr="008C78FC">
        <w:rPr>
          <w:lang w:val="hr-HR"/>
        </w:rPr>
        <w:t xml:space="preserve"> svojih presuda te često ponavlja i potvrđuje zaključke iznesene u prijašnjim predmetima.</w:t>
      </w:r>
    </w:p>
    <w:p w:rsidR="00D6304A" w:rsidRPr="008C78FC" w:rsidRDefault="00D6304A" w:rsidP="00D6304A">
      <w:pPr>
        <w:pStyle w:val="Naslov2"/>
        <w:rPr>
          <w:rFonts w:ascii="Times New Roman" w:hAnsi="Times New Roman" w:cs="Times New Roman"/>
          <w:lang w:val="hr-HR"/>
        </w:rPr>
      </w:pPr>
      <w:r w:rsidRPr="008C78FC">
        <w:rPr>
          <w:rFonts w:ascii="Times New Roman" w:hAnsi="Times New Roman" w:cs="Times New Roman"/>
          <w:lang w:val="hr-HR"/>
        </w:rPr>
        <w:t xml:space="preserve"> </w:t>
      </w:r>
      <w:bookmarkStart w:id="8" w:name="_Toc381547532"/>
      <w:r w:rsidRPr="008C78FC">
        <w:rPr>
          <w:rFonts w:ascii="Times New Roman" w:hAnsi="Times New Roman" w:cs="Times New Roman"/>
          <w:lang w:val="hr-HR"/>
        </w:rPr>
        <w:t>‘Tvrdokorna’ ograničenja ili ‘apsolutno zabranjena ograničenja’</w:t>
      </w:r>
      <w:bookmarkEnd w:id="8"/>
    </w:p>
    <w:p w:rsidR="00D6304A" w:rsidRPr="008C78FC" w:rsidRDefault="00D6304A" w:rsidP="002415CF">
      <w:pPr>
        <w:tabs>
          <w:tab w:val="left" w:pos="6330"/>
        </w:tabs>
        <w:rPr>
          <w:lang w:val="hr-HR"/>
        </w:rPr>
      </w:pPr>
    </w:p>
    <w:p w:rsidR="00D27761" w:rsidRPr="008C78FC" w:rsidRDefault="00746AF2" w:rsidP="00746AF2">
      <w:pPr>
        <w:tabs>
          <w:tab w:val="left" w:pos="567"/>
        </w:tabs>
        <w:spacing w:line="480" w:lineRule="auto"/>
        <w:rPr>
          <w:lang w:val="hr-HR"/>
        </w:rPr>
      </w:pPr>
      <w:r w:rsidRPr="008C78FC">
        <w:rPr>
          <w:lang w:val="hr-HR"/>
        </w:rPr>
        <w:tab/>
      </w:r>
      <w:r w:rsidR="004052C0" w:rsidRPr="008C78FC">
        <w:rPr>
          <w:lang w:val="hr-HR"/>
        </w:rPr>
        <w:t>Terminologij</w:t>
      </w:r>
      <w:r w:rsidR="00D27761" w:rsidRPr="008C78FC">
        <w:rPr>
          <w:lang w:val="hr-HR"/>
        </w:rPr>
        <w:t xml:space="preserve">a koja se primjenjuje na hrvatskom jeziku nije od osobite koristi i </w:t>
      </w:r>
      <w:r w:rsidR="004052C0" w:rsidRPr="008C78FC">
        <w:rPr>
          <w:lang w:val="hr-HR"/>
        </w:rPr>
        <w:t>dodatno</w:t>
      </w:r>
      <w:r w:rsidR="00D27761" w:rsidRPr="008C78FC">
        <w:rPr>
          <w:lang w:val="hr-HR"/>
        </w:rPr>
        <w:t xml:space="preserve"> otežava razumijevanje koncepta ‘</w:t>
      </w:r>
      <w:proofErr w:type="spellStart"/>
      <w:r w:rsidR="00D27761" w:rsidRPr="008C78FC">
        <w:rPr>
          <w:lang w:val="hr-HR"/>
        </w:rPr>
        <w:t>hard</w:t>
      </w:r>
      <w:proofErr w:type="spellEnd"/>
      <w:r w:rsidR="00D27761" w:rsidRPr="008C78FC">
        <w:rPr>
          <w:lang w:val="hr-HR"/>
        </w:rPr>
        <w:t>-</w:t>
      </w:r>
      <w:proofErr w:type="spellStart"/>
      <w:r w:rsidR="00D27761" w:rsidRPr="008C78FC">
        <w:rPr>
          <w:lang w:val="hr-HR"/>
        </w:rPr>
        <w:t>corerea</w:t>
      </w:r>
      <w:r w:rsidR="004C6EDC" w:rsidRPr="008C78FC">
        <w:rPr>
          <w:lang w:val="hr-HR"/>
        </w:rPr>
        <w:t>s</w:t>
      </w:r>
      <w:r w:rsidR="00D27761" w:rsidRPr="008C78FC">
        <w:rPr>
          <w:lang w:val="hr-HR"/>
        </w:rPr>
        <w:t>traints</w:t>
      </w:r>
      <w:proofErr w:type="spellEnd"/>
      <w:r w:rsidR="00D27761" w:rsidRPr="008C78FC">
        <w:rPr>
          <w:lang w:val="hr-HR"/>
        </w:rPr>
        <w:t xml:space="preserve">’. Kao što je ranije </w:t>
      </w:r>
      <w:r w:rsidR="004052C0" w:rsidRPr="008C78FC">
        <w:rPr>
          <w:lang w:val="hr-HR"/>
        </w:rPr>
        <w:t>objašnjeno</w:t>
      </w:r>
      <w:r w:rsidR="00D27761" w:rsidRPr="008C78FC">
        <w:rPr>
          <w:lang w:val="hr-HR"/>
        </w:rPr>
        <w:t>, Komisija donosi Uredbe o skupnom izuzeću. Svi sporazumi koji se spadaju u sigurnu luku koju pru</w:t>
      </w:r>
      <w:r w:rsidR="00A436CE" w:rsidRPr="008C78FC">
        <w:rPr>
          <w:lang w:val="hr-HR"/>
        </w:rPr>
        <w:t>ža m</w:t>
      </w:r>
      <w:r w:rsidR="00D27761" w:rsidRPr="008C78FC">
        <w:rPr>
          <w:lang w:val="hr-HR"/>
        </w:rPr>
        <w:t>j</w:t>
      </w:r>
      <w:r w:rsidR="00A436CE" w:rsidRPr="008C78FC">
        <w:rPr>
          <w:lang w:val="hr-HR"/>
        </w:rPr>
        <w:t>e</w:t>
      </w:r>
      <w:r w:rsidR="00D27761" w:rsidRPr="008C78FC">
        <w:rPr>
          <w:lang w:val="hr-HR"/>
        </w:rPr>
        <w:t xml:space="preserve">rodavna uredba su </w:t>
      </w:r>
      <w:proofErr w:type="spellStart"/>
      <w:r w:rsidR="00D27761" w:rsidRPr="008C78FC">
        <w:rPr>
          <w:i/>
          <w:lang w:val="hr-HR"/>
        </w:rPr>
        <w:t>per</w:t>
      </w:r>
      <w:proofErr w:type="spellEnd"/>
      <w:r w:rsidR="00D27761" w:rsidRPr="008C78FC">
        <w:rPr>
          <w:i/>
          <w:lang w:val="hr-HR"/>
        </w:rPr>
        <w:t xml:space="preserve"> se </w:t>
      </w:r>
      <w:r w:rsidR="00D27761" w:rsidRPr="008C78FC">
        <w:rPr>
          <w:lang w:val="hr-HR"/>
        </w:rPr>
        <w:t xml:space="preserve">dozvoljeni i za njih se pretpostavlja da su u skladu s člankom 101(1) </w:t>
      </w:r>
      <w:proofErr w:type="spellStart"/>
      <w:r w:rsidR="00D27761" w:rsidRPr="008C78FC">
        <w:rPr>
          <w:lang w:val="hr-HR"/>
        </w:rPr>
        <w:t>UFEU</w:t>
      </w:r>
      <w:proofErr w:type="spellEnd"/>
      <w:r w:rsidR="00D27761" w:rsidRPr="008C78FC">
        <w:rPr>
          <w:lang w:val="hr-HR"/>
        </w:rPr>
        <w:t xml:space="preserve"> odnosno da ispunjavaju uvijete iz članka 101(3) </w:t>
      </w:r>
      <w:proofErr w:type="spellStart"/>
      <w:r w:rsidR="00D27761" w:rsidRPr="008C78FC">
        <w:rPr>
          <w:lang w:val="hr-HR"/>
        </w:rPr>
        <w:t>UFEU</w:t>
      </w:r>
      <w:proofErr w:type="spellEnd"/>
      <w:r w:rsidR="00D27761" w:rsidRPr="008C78FC">
        <w:rPr>
          <w:lang w:val="hr-HR"/>
        </w:rPr>
        <w:t xml:space="preserve">.  Kako bi određeni sporazum bio u dosegu primjene uredbe o skupnom izuzeću nužno je da su ispunjeni određeni uvjeti. Ponajprije, udio na tržištu stranaka sporazuma mora biti unutar granica propisanih mjerodavnom uredbom. Osim kvantitativnih kriterija, sporazum mora zadovoljiti i određene uvjete u pogledu svoj sadržaja. Naime, sporazum ne smije sadržavati </w:t>
      </w:r>
      <w:r w:rsidR="004052C0" w:rsidRPr="008C78FC">
        <w:rPr>
          <w:lang w:val="hr-HR"/>
        </w:rPr>
        <w:t>određena ugovorna ograničenja ko</w:t>
      </w:r>
      <w:r w:rsidR="00D27761" w:rsidRPr="008C78FC">
        <w:rPr>
          <w:lang w:val="hr-HR"/>
        </w:rPr>
        <w:t>ja su izričito navedena u uredbama. Primjerice Uredba o skupnom izuzeću vertikalnih sporazuma propisuje da se primjenjuje na sporazume između stranki koji na mjerodavnom tržištu imaju udio manji od 30%. No, članak 4 Uredbe o skupnom izuzeću vertikalnih ugo</w:t>
      </w:r>
      <w:r w:rsidR="00A436CE" w:rsidRPr="008C78FC">
        <w:rPr>
          <w:lang w:val="hr-HR"/>
        </w:rPr>
        <w:t>vora propisuje da se Uredba ne primjene</w:t>
      </w:r>
      <w:r w:rsidR="00D27761" w:rsidRPr="008C78FC">
        <w:rPr>
          <w:lang w:val="hr-HR"/>
        </w:rPr>
        <w:t xml:space="preserve"> na sporazume koji, neovisno o tržišnom položaju stranaka</w:t>
      </w:r>
      <w:r w:rsidR="004052C0" w:rsidRPr="008C78FC">
        <w:rPr>
          <w:lang w:val="hr-HR"/>
        </w:rPr>
        <w:t xml:space="preserve">, sadrži, </w:t>
      </w:r>
      <w:proofErr w:type="spellStart"/>
      <w:r w:rsidR="004052C0" w:rsidRPr="008C78FC">
        <w:rPr>
          <w:lang w:val="hr-HR"/>
        </w:rPr>
        <w:t>međuostalim</w:t>
      </w:r>
      <w:proofErr w:type="spellEnd"/>
      <w:r w:rsidR="004052C0" w:rsidRPr="008C78FC">
        <w:rPr>
          <w:lang w:val="hr-HR"/>
        </w:rPr>
        <w:t xml:space="preserve"> i zabranu pasivne prodaje distributerima. </w:t>
      </w:r>
    </w:p>
    <w:p w:rsidR="006C72C0" w:rsidRPr="008C78FC" w:rsidRDefault="004052C0" w:rsidP="004052C0">
      <w:pPr>
        <w:tabs>
          <w:tab w:val="left" w:pos="6330"/>
        </w:tabs>
        <w:spacing w:line="480" w:lineRule="auto"/>
        <w:rPr>
          <w:lang w:val="hr-HR"/>
        </w:rPr>
      </w:pPr>
      <w:r w:rsidRPr="008C78FC">
        <w:rPr>
          <w:lang w:val="hr-HR"/>
        </w:rPr>
        <w:t xml:space="preserve">Okolnost da se na određeni sporazum ne primjenjuje Uredba o skupnom izuzeću ne znači da je sporazum sam po sebi protivan pravu tržišnog natjecanja. Ovlast Komisije za donošenje uredbi o skupnom izuzeću se temelji na tome da se utvrde kategorije ugovora za koje se ne </w:t>
      </w:r>
      <w:r w:rsidRPr="008C78FC">
        <w:rPr>
          <w:lang w:val="hr-HR"/>
        </w:rPr>
        <w:lastRenderedPageBreak/>
        <w:t xml:space="preserve">trebaju utvrđivati </w:t>
      </w:r>
      <w:proofErr w:type="spellStart"/>
      <w:r w:rsidRPr="008C78FC">
        <w:rPr>
          <w:lang w:val="hr-HR"/>
        </w:rPr>
        <w:t>indvidulani</w:t>
      </w:r>
      <w:proofErr w:type="spellEnd"/>
      <w:r w:rsidRPr="008C78FC">
        <w:rPr>
          <w:lang w:val="hr-HR"/>
        </w:rPr>
        <w:t xml:space="preserve"> učinci jer na temelju dovoljnog iskustva se može sa razumnom sigurnošću pretpo</w:t>
      </w:r>
      <w:r w:rsidR="008360D1" w:rsidRPr="008C78FC">
        <w:rPr>
          <w:lang w:val="hr-HR"/>
        </w:rPr>
        <w:t>staviti da su u skladu sa članko</w:t>
      </w:r>
      <w:r w:rsidRPr="008C78FC">
        <w:rPr>
          <w:lang w:val="hr-HR"/>
        </w:rPr>
        <w:t>m 101(1) odnosno da zadovoljavaju uvjete iz članka 101(3). Ukoliko pojedini sporazum sadrži neku od tvrdokornih ograničenja, on će se individualno procjenjivati.</w:t>
      </w:r>
    </w:p>
    <w:p w:rsidR="002415CF" w:rsidRPr="008C78FC" w:rsidRDefault="00FE4DCB" w:rsidP="00FE4DCB">
      <w:pPr>
        <w:tabs>
          <w:tab w:val="left" w:pos="851"/>
        </w:tabs>
        <w:spacing w:line="480" w:lineRule="auto"/>
        <w:rPr>
          <w:rStyle w:val="Istaknuto"/>
          <w:szCs w:val="24"/>
          <w:lang w:val="hr-HR"/>
        </w:rPr>
      </w:pPr>
      <w:r w:rsidRPr="008C78FC">
        <w:rPr>
          <w:szCs w:val="24"/>
          <w:lang w:val="hr-HR"/>
        </w:rPr>
        <w:tab/>
      </w:r>
      <w:r w:rsidR="002415CF" w:rsidRPr="008C78FC">
        <w:rPr>
          <w:szCs w:val="24"/>
          <w:lang w:val="hr-HR"/>
        </w:rPr>
        <w:t>Na razlici između tzv. Tvrdokornih ograničenja i ograničenja po cilju inzist</w:t>
      </w:r>
      <w:r w:rsidR="005C6D74">
        <w:rPr>
          <w:szCs w:val="24"/>
          <w:lang w:val="hr-HR"/>
        </w:rPr>
        <w:t xml:space="preserve">irao je nezavisni odvjetnici </w:t>
      </w:r>
      <w:proofErr w:type="spellStart"/>
      <w:r w:rsidR="005C6D74">
        <w:rPr>
          <w:szCs w:val="24"/>
          <w:lang w:val="hr-HR"/>
        </w:rPr>
        <w:t>M</w:t>
      </w:r>
      <w:r w:rsidR="002415CF" w:rsidRPr="008C78FC">
        <w:rPr>
          <w:szCs w:val="24"/>
          <w:lang w:val="hr-HR"/>
        </w:rPr>
        <w:t>a</w:t>
      </w:r>
      <w:r w:rsidR="005C6D74">
        <w:rPr>
          <w:szCs w:val="24"/>
          <w:lang w:val="hr-HR"/>
        </w:rPr>
        <w:t>zá</w:t>
      </w:r>
      <w:r w:rsidR="002415CF" w:rsidRPr="008C78FC">
        <w:rPr>
          <w:szCs w:val="24"/>
          <w:lang w:val="hr-HR"/>
        </w:rPr>
        <w:t>k</w:t>
      </w:r>
      <w:proofErr w:type="spellEnd"/>
      <w:r w:rsidR="002415CF" w:rsidRPr="008C78FC">
        <w:rPr>
          <w:szCs w:val="24"/>
          <w:lang w:val="hr-HR"/>
        </w:rPr>
        <w:t xml:space="preserve"> u predmet u  </w:t>
      </w:r>
      <w:proofErr w:type="spellStart"/>
      <w:r w:rsidR="002415CF" w:rsidRPr="008C78FC">
        <w:rPr>
          <w:rStyle w:val="Istaknuto"/>
          <w:szCs w:val="24"/>
          <w:lang w:val="hr-HR"/>
        </w:rPr>
        <w:t>PierreFabreDermo</w:t>
      </w:r>
      <w:proofErr w:type="spellEnd"/>
      <w:r w:rsidR="002415CF" w:rsidRPr="008C78FC">
        <w:rPr>
          <w:rStyle w:val="Istaknuto"/>
          <w:szCs w:val="24"/>
          <w:lang w:val="hr-HR"/>
        </w:rPr>
        <w:t>-</w:t>
      </w:r>
      <w:proofErr w:type="spellStart"/>
      <w:r w:rsidR="002415CF" w:rsidRPr="008C78FC">
        <w:rPr>
          <w:rStyle w:val="Istaknuto"/>
          <w:szCs w:val="24"/>
          <w:lang w:val="hr-HR"/>
        </w:rPr>
        <w:t>Cosmetique</w:t>
      </w:r>
      <w:proofErr w:type="spellEnd"/>
      <w:r w:rsidR="002415CF" w:rsidRPr="008C78FC">
        <w:rPr>
          <w:rStyle w:val="Referencafusnote"/>
          <w:i/>
          <w:iCs/>
          <w:szCs w:val="24"/>
          <w:lang w:val="hr-HR"/>
        </w:rPr>
        <w:footnoteReference w:id="42"/>
      </w:r>
      <w:r w:rsidR="002415CF" w:rsidRPr="008C78FC">
        <w:rPr>
          <w:szCs w:val="24"/>
          <w:lang w:val="hr-HR"/>
        </w:rPr>
        <w:t xml:space="preserve">i </w:t>
      </w:r>
      <w:proofErr w:type="spellStart"/>
      <w:r w:rsidR="002415CF" w:rsidRPr="008C78FC">
        <w:rPr>
          <w:szCs w:val="24"/>
          <w:lang w:val="hr-HR"/>
        </w:rPr>
        <w:t>CruzVillalonin</w:t>
      </w:r>
      <w:r w:rsidR="002415CF" w:rsidRPr="008C78FC">
        <w:rPr>
          <w:rStyle w:val="Istaknuto"/>
          <w:szCs w:val="24"/>
          <w:lang w:val="hr-HR"/>
        </w:rPr>
        <w:t>Allianz</w:t>
      </w:r>
      <w:proofErr w:type="spellEnd"/>
      <w:r w:rsidR="002415CF" w:rsidRPr="008C78FC">
        <w:rPr>
          <w:rStyle w:val="Istaknuto"/>
          <w:szCs w:val="24"/>
          <w:lang w:val="hr-HR"/>
        </w:rPr>
        <w:t xml:space="preserve"> </w:t>
      </w:r>
      <w:proofErr w:type="spellStart"/>
      <w:r w:rsidR="002415CF" w:rsidRPr="008C78FC">
        <w:rPr>
          <w:rStyle w:val="Istaknuto"/>
          <w:szCs w:val="24"/>
          <w:lang w:val="hr-HR"/>
        </w:rPr>
        <w:t>Hungaria</w:t>
      </w:r>
      <w:proofErr w:type="spellEnd"/>
      <w:r w:rsidR="002415CF" w:rsidRPr="008C78FC">
        <w:rPr>
          <w:rStyle w:val="Referencafusnote"/>
          <w:i/>
          <w:iCs/>
          <w:szCs w:val="24"/>
          <w:lang w:val="hr-HR"/>
        </w:rPr>
        <w:footnoteReference w:id="43"/>
      </w:r>
      <w:r w:rsidR="002415CF" w:rsidRPr="008C78FC">
        <w:rPr>
          <w:rStyle w:val="Referencafusnote"/>
          <w:i/>
          <w:iCs/>
          <w:szCs w:val="24"/>
          <w:lang w:val="hr-HR"/>
        </w:rPr>
        <w:footnoteReference w:id="44"/>
      </w:r>
    </w:p>
    <w:p w:rsidR="008919A0" w:rsidRPr="008C78FC" w:rsidRDefault="00FE4DCB" w:rsidP="00FE4DCB">
      <w:pPr>
        <w:tabs>
          <w:tab w:val="left" w:pos="709"/>
        </w:tabs>
        <w:spacing w:line="480" w:lineRule="auto"/>
        <w:rPr>
          <w:rStyle w:val="Istaknuto"/>
          <w:i w:val="0"/>
          <w:szCs w:val="24"/>
          <w:lang w:val="hr-HR"/>
        </w:rPr>
      </w:pPr>
      <w:r w:rsidRPr="008C78FC">
        <w:rPr>
          <w:rStyle w:val="Istaknuto"/>
          <w:i w:val="0"/>
          <w:szCs w:val="24"/>
          <w:lang w:val="hr-HR"/>
        </w:rPr>
        <w:tab/>
      </w:r>
      <w:r w:rsidR="007F00F5" w:rsidRPr="008C78FC">
        <w:rPr>
          <w:rStyle w:val="Istaknuto"/>
          <w:i w:val="0"/>
          <w:szCs w:val="24"/>
          <w:lang w:val="hr-HR"/>
        </w:rPr>
        <w:t>Međutim, bilo bi naiv</w:t>
      </w:r>
      <w:r w:rsidR="005B0ACD" w:rsidRPr="008C78FC">
        <w:rPr>
          <w:rStyle w:val="Istaknuto"/>
          <w:i w:val="0"/>
          <w:szCs w:val="24"/>
          <w:lang w:val="hr-HR"/>
        </w:rPr>
        <w:t>n</w:t>
      </w:r>
      <w:r w:rsidR="007F00F5" w:rsidRPr="008C78FC">
        <w:rPr>
          <w:rStyle w:val="Istaknuto"/>
          <w:i w:val="0"/>
          <w:szCs w:val="24"/>
          <w:lang w:val="hr-HR"/>
        </w:rPr>
        <w:t xml:space="preserve">o podcijeniti utjecaj Komisije na </w:t>
      </w:r>
      <w:r w:rsidR="008919A0" w:rsidRPr="008C78FC">
        <w:rPr>
          <w:rStyle w:val="Istaknuto"/>
          <w:i w:val="0"/>
          <w:szCs w:val="24"/>
          <w:lang w:val="hr-HR"/>
        </w:rPr>
        <w:t>primjenu prava tržišnog natjecanja. U području europskog ekonomskog prava čiji je dio i pravo tržišnog natjecanja, Sud je redovito priznavao Komisiji široke diskrecijske ovlasti</w:t>
      </w:r>
      <w:r w:rsidR="005C6D74">
        <w:rPr>
          <w:rStyle w:val="Referencafusnote"/>
          <w:iCs/>
          <w:szCs w:val="24"/>
          <w:lang w:val="hr-HR"/>
        </w:rPr>
        <w:footnoteReference w:id="45"/>
      </w:r>
      <w:r w:rsidR="008919A0" w:rsidRPr="008C78FC">
        <w:rPr>
          <w:rStyle w:val="Istaknuto"/>
          <w:i w:val="0"/>
          <w:szCs w:val="24"/>
          <w:lang w:val="hr-HR"/>
        </w:rPr>
        <w:t xml:space="preserve">. Nadalje, iako nacionalne agencije za zaštitu tržišnog natjecanja i nacionalni sudovi nemaju pravnu obvezu slijediti Komisijino stajalište da su ta tvrdokorna ograničenja navedena na crnim listama Uredbi o skupnom izuzeću, doista ograničenja po cilju, teško je za očekivati da će biti značajnijih odstupanja. </w:t>
      </w:r>
    </w:p>
    <w:p w:rsidR="00D221CD" w:rsidRDefault="00D221CD">
      <w:pPr>
        <w:spacing w:before="0" w:after="0" w:line="240" w:lineRule="auto"/>
        <w:jc w:val="left"/>
        <w:rPr>
          <w:rFonts w:eastAsiaTheme="majorEastAsia"/>
          <w:b/>
          <w:bCs/>
          <w:color w:val="365F91" w:themeColor="accent1" w:themeShade="BF"/>
          <w:sz w:val="28"/>
          <w:szCs w:val="28"/>
          <w:lang w:val="hr-HR"/>
        </w:rPr>
      </w:pPr>
      <w:bookmarkStart w:id="9" w:name="_Toc381547533"/>
      <w:r>
        <w:rPr>
          <w:lang w:val="hr-HR"/>
        </w:rPr>
        <w:br w:type="page"/>
      </w:r>
    </w:p>
    <w:p w:rsidR="00492A59" w:rsidRPr="008C78FC" w:rsidRDefault="0079224B" w:rsidP="001A2BF2">
      <w:pPr>
        <w:pStyle w:val="Naslov1"/>
        <w:numPr>
          <w:ilvl w:val="0"/>
          <w:numId w:val="9"/>
        </w:numPr>
        <w:rPr>
          <w:rFonts w:ascii="Times New Roman" w:hAnsi="Times New Roman" w:cs="Times New Roman"/>
          <w:szCs w:val="24"/>
          <w:lang w:val="hr-HR"/>
        </w:rPr>
      </w:pPr>
      <w:r>
        <w:rPr>
          <w:rFonts w:ascii="Times New Roman" w:hAnsi="Times New Roman" w:cs="Times New Roman"/>
          <w:lang w:val="hr-HR"/>
        </w:rPr>
        <w:lastRenderedPageBreak/>
        <w:t>Iznimke</w:t>
      </w:r>
      <w:r w:rsidR="004F76BF">
        <w:rPr>
          <w:rFonts w:ascii="Times New Roman" w:hAnsi="Times New Roman" w:cs="Times New Roman"/>
          <w:lang w:val="hr-HR"/>
        </w:rPr>
        <w:t xml:space="preserve"> kategoriji</w:t>
      </w:r>
      <w:r w:rsidR="00492A59" w:rsidRPr="008C78FC">
        <w:rPr>
          <w:rFonts w:ascii="Times New Roman" w:hAnsi="Times New Roman" w:cs="Times New Roman"/>
          <w:lang w:val="hr-HR"/>
        </w:rPr>
        <w:t xml:space="preserve"> </w:t>
      </w:r>
      <w:r w:rsidR="007F00F5" w:rsidRPr="008C78FC">
        <w:rPr>
          <w:rFonts w:ascii="Times New Roman" w:hAnsi="Times New Roman" w:cs="Times New Roman"/>
          <w:lang w:val="hr-HR"/>
        </w:rPr>
        <w:t>‘ograničenje</w:t>
      </w:r>
      <w:r w:rsidR="00492A59" w:rsidRPr="008C78FC">
        <w:rPr>
          <w:rFonts w:ascii="Times New Roman" w:hAnsi="Times New Roman" w:cs="Times New Roman"/>
          <w:lang w:val="hr-HR"/>
        </w:rPr>
        <w:t xml:space="preserve"> po cilju</w:t>
      </w:r>
      <w:r w:rsidR="007F00F5" w:rsidRPr="008C78FC">
        <w:rPr>
          <w:rFonts w:ascii="Times New Roman" w:hAnsi="Times New Roman" w:cs="Times New Roman"/>
          <w:lang w:val="hr-HR"/>
        </w:rPr>
        <w:t>’</w:t>
      </w:r>
      <w:bookmarkEnd w:id="9"/>
      <w:r>
        <w:rPr>
          <w:rFonts w:ascii="Times New Roman" w:hAnsi="Times New Roman" w:cs="Times New Roman"/>
          <w:lang w:val="hr-HR"/>
        </w:rPr>
        <w:t xml:space="preserve"> – pobijanje </w:t>
      </w:r>
      <w:r>
        <w:rPr>
          <w:rFonts w:ascii="Times New Roman" w:hAnsi="Times New Roman" w:cs="Times New Roman"/>
          <w:i/>
          <w:lang w:val="hr-HR"/>
        </w:rPr>
        <w:t xml:space="preserve">prima </w:t>
      </w:r>
      <w:proofErr w:type="spellStart"/>
      <w:r>
        <w:rPr>
          <w:rFonts w:ascii="Times New Roman" w:hAnsi="Times New Roman" w:cs="Times New Roman"/>
          <w:i/>
          <w:lang w:val="hr-HR"/>
        </w:rPr>
        <w:t>facie</w:t>
      </w:r>
      <w:proofErr w:type="spellEnd"/>
      <w:r>
        <w:rPr>
          <w:rFonts w:ascii="Times New Roman" w:hAnsi="Times New Roman" w:cs="Times New Roman"/>
          <w:i/>
          <w:lang w:val="hr-HR"/>
        </w:rPr>
        <w:t xml:space="preserve"> </w:t>
      </w:r>
      <w:r w:rsidRPr="004F76BF">
        <w:rPr>
          <w:rFonts w:ascii="Times New Roman" w:hAnsi="Times New Roman" w:cs="Times New Roman"/>
          <w:lang w:val="hr-HR"/>
        </w:rPr>
        <w:t>presumpcije</w:t>
      </w:r>
    </w:p>
    <w:p w:rsidR="008B00CE" w:rsidRPr="008C78FC" w:rsidRDefault="008B00CE" w:rsidP="008B00CE">
      <w:pPr>
        <w:spacing w:line="480" w:lineRule="auto"/>
        <w:ind w:firstLine="708"/>
        <w:rPr>
          <w:szCs w:val="24"/>
          <w:lang w:val="hr-HR"/>
        </w:rPr>
      </w:pPr>
    </w:p>
    <w:p w:rsidR="00F22EF0" w:rsidRDefault="00492A59" w:rsidP="00602286">
      <w:pPr>
        <w:spacing w:line="480" w:lineRule="auto"/>
        <w:ind w:firstLine="708"/>
        <w:rPr>
          <w:szCs w:val="24"/>
          <w:lang w:val="hr-HR"/>
        </w:rPr>
      </w:pPr>
      <w:r w:rsidRPr="008C78FC">
        <w:rPr>
          <w:szCs w:val="24"/>
          <w:lang w:val="hr-HR"/>
        </w:rPr>
        <w:t>Praksa Suda</w:t>
      </w:r>
      <w:r w:rsidR="00590AE9" w:rsidRPr="008C78FC">
        <w:rPr>
          <w:szCs w:val="24"/>
          <w:lang w:val="hr-HR"/>
        </w:rPr>
        <w:t xml:space="preserve"> upućuje da forma sporazuma ne mora uvijek biti odlučujuća</w:t>
      </w:r>
      <w:r w:rsidRPr="008C78FC">
        <w:rPr>
          <w:szCs w:val="24"/>
          <w:lang w:val="hr-HR"/>
        </w:rPr>
        <w:t>. Naime, Sud je u određe</w:t>
      </w:r>
      <w:r w:rsidR="00590AE9" w:rsidRPr="008C78FC">
        <w:rPr>
          <w:szCs w:val="24"/>
          <w:lang w:val="hr-HR"/>
        </w:rPr>
        <w:t>nim situacijama prihvatio da sporazum koji sadrži s ugovorno ograničenje s liste iz Poglavlja IV</w:t>
      </w:r>
      <w:r w:rsidR="00590AE9" w:rsidRPr="008C78FC">
        <w:rPr>
          <w:rStyle w:val="Referencafusnote"/>
          <w:szCs w:val="24"/>
          <w:lang w:val="hr-HR"/>
        </w:rPr>
        <w:footnoteReference w:id="46"/>
      </w:r>
      <w:r w:rsidR="00602286" w:rsidRPr="008C78FC">
        <w:rPr>
          <w:szCs w:val="24"/>
          <w:lang w:val="hr-HR"/>
        </w:rPr>
        <w:t xml:space="preserve">, ne mora imati za svoj cilj ograničenje tržišnog natjecanja. </w:t>
      </w:r>
    </w:p>
    <w:p w:rsidR="00602286" w:rsidRPr="008C78FC" w:rsidRDefault="00602286" w:rsidP="00602286">
      <w:pPr>
        <w:spacing w:line="480" w:lineRule="auto"/>
        <w:ind w:firstLine="708"/>
        <w:rPr>
          <w:szCs w:val="24"/>
          <w:lang w:val="hr-HR"/>
        </w:rPr>
      </w:pPr>
      <w:r w:rsidRPr="008C78FC">
        <w:rPr>
          <w:szCs w:val="24"/>
          <w:lang w:val="hr-HR"/>
        </w:rPr>
        <w:t xml:space="preserve">U predmetu </w:t>
      </w:r>
      <w:proofErr w:type="spellStart"/>
      <w:r w:rsidRPr="008C78FC">
        <w:rPr>
          <w:szCs w:val="24"/>
          <w:lang w:val="hr-HR"/>
        </w:rPr>
        <w:t>FootballAssociationPremierLeague</w:t>
      </w:r>
      <w:proofErr w:type="spellEnd"/>
      <w:r w:rsidRPr="008C78FC">
        <w:rPr>
          <w:szCs w:val="24"/>
          <w:lang w:val="hr-HR"/>
        </w:rPr>
        <w:t xml:space="preserve"> v. </w:t>
      </w:r>
      <w:proofErr w:type="spellStart"/>
      <w:r w:rsidRPr="008C78FC">
        <w:rPr>
          <w:szCs w:val="24"/>
          <w:lang w:val="hr-HR"/>
        </w:rPr>
        <w:t>QCLeisure</w:t>
      </w:r>
      <w:proofErr w:type="spellEnd"/>
      <w:r w:rsidRPr="008C78FC">
        <w:rPr>
          <w:rStyle w:val="Referencafusnote"/>
          <w:szCs w:val="24"/>
          <w:lang w:val="hr-HR"/>
        </w:rPr>
        <w:footnoteReference w:id="47"/>
      </w:r>
      <w:r w:rsidRPr="008C78FC">
        <w:rPr>
          <w:szCs w:val="24"/>
          <w:lang w:val="hr-HR"/>
        </w:rPr>
        <w:t xml:space="preserve">, je ponovio da </w:t>
      </w:r>
      <w:r w:rsidR="003968B5" w:rsidRPr="008C78FC">
        <w:rPr>
          <w:szCs w:val="24"/>
          <w:lang w:val="hr-HR"/>
        </w:rPr>
        <w:t>„</w:t>
      </w:r>
      <w:r w:rsidRPr="008C78FC">
        <w:rPr>
          <w:szCs w:val="24"/>
          <w:lang w:val="hr-HR"/>
        </w:rPr>
        <w:t xml:space="preserve">ugovori koji su dizajnirani kako bi podijelili unutarnje tržište </w:t>
      </w:r>
      <w:r w:rsidR="00F22EF0">
        <w:rPr>
          <w:szCs w:val="24"/>
          <w:lang w:val="hr-HR"/>
        </w:rPr>
        <w:t xml:space="preserve">imaju za </w:t>
      </w:r>
      <w:r w:rsidRPr="008C78FC">
        <w:rPr>
          <w:szCs w:val="24"/>
          <w:lang w:val="hr-HR"/>
        </w:rPr>
        <w:t>svoj cilj ograničenje tržišnog natjecanja.</w:t>
      </w:r>
      <w:r w:rsidR="003968B5" w:rsidRPr="008C78FC">
        <w:rPr>
          <w:szCs w:val="24"/>
          <w:lang w:val="hr-HR"/>
        </w:rPr>
        <w:t>“</w:t>
      </w:r>
      <w:r w:rsidR="003968B5" w:rsidRPr="008C78FC">
        <w:rPr>
          <w:rStyle w:val="Referencafusnote"/>
          <w:szCs w:val="24"/>
          <w:lang w:val="hr-HR"/>
        </w:rPr>
        <w:footnoteReference w:id="48"/>
      </w:r>
      <w:r w:rsidR="00F22EF0">
        <w:rPr>
          <w:szCs w:val="24"/>
          <w:lang w:val="hr-HR"/>
        </w:rPr>
        <w:t xml:space="preserve"> Na prvi pogled ništa nije neobično u toj</w:t>
      </w:r>
      <w:r w:rsidRPr="008C78FC">
        <w:rPr>
          <w:szCs w:val="24"/>
          <w:lang w:val="hr-HR"/>
        </w:rPr>
        <w:t xml:space="preserve"> konstataciji i čini se da upućuje na formali</w:t>
      </w:r>
      <w:r w:rsidR="00F22EF0">
        <w:rPr>
          <w:szCs w:val="24"/>
          <w:lang w:val="hr-HR"/>
        </w:rPr>
        <w:t>stičko tumačenje protu-tržišnog</w:t>
      </w:r>
      <w:r w:rsidRPr="008C78FC">
        <w:rPr>
          <w:szCs w:val="24"/>
          <w:lang w:val="hr-HR"/>
        </w:rPr>
        <w:t xml:space="preserve"> cilja. No, </w:t>
      </w:r>
      <w:r w:rsidR="00F22EF0">
        <w:rPr>
          <w:szCs w:val="24"/>
          <w:lang w:val="hr-HR"/>
        </w:rPr>
        <w:t xml:space="preserve">nastavak rečenice je </w:t>
      </w:r>
      <w:r w:rsidR="003968B5" w:rsidRPr="008C78FC">
        <w:rPr>
          <w:szCs w:val="24"/>
          <w:lang w:val="hr-HR"/>
        </w:rPr>
        <w:t>zanimljiviji</w:t>
      </w:r>
      <w:r w:rsidRPr="008C78FC">
        <w:rPr>
          <w:szCs w:val="24"/>
          <w:lang w:val="hr-HR"/>
        </w:rPr>
        <w:t xml:space="preserve"> i upućuje na postojanje i drugog koraka u analizi </w:t>
      </w:r>
      <w:r w:rsidR="003968B5" w:rsidRPr="008C78FC">
        <w:rPr>
          <w:szCs w:val="24"/>
          <w:lang w:val="hr-HR"/>
        </w:rPr>
        <w:t xml:space="preserve">cilja sporazuma. Naime, Sud napominje da </w:t>
      </w:r>
      <w:r w:rsidRPr="008C78FC">
        <w:rPr>
          <w:szCs w:val="24"/>
          <w:lang w:val="hr-HR"/>
        </w:rPr>
        <w:t xml:space="preserve">okolnosti </w:t>
      </w:r>
      <w:r w:rsidR="003968B5" w:rsidRPr="008C78FC">
        <w:rPr>
          <w:szCs w:val="24"/>
          <w:lang w:val="hr-HR"/>
        </w:rPr>
        <w:t>koje čine</w:t>
      </w:r>
      <w:r w:rsidR="008360D1" w:rsidRPr="008C78FC">
        <w:rPr>
          <w:szCs w:val="24"/>
          <w:lang w:val="hr-HR"/>
        </w:rPr>
        <w:t xml:space="preserve"> ekonomski i pravn</w:t>
      </w:r>
      <w:r w:rsidR="003968B5" w:rsidRPr="008C78FC">
        <w:rPr>
          <w:szCs w:val="24"/>
          <w:lang w:val="hr-HR"/>
        </w:rPr>
        <w:t>i</w:t>
      </w:r>
      <w:r w:rsidRPr="008C78FC">
        <w:rPr>
          <w:szCs w:val="24"/>
          <w:lang w:val="hr-HR"/>
        </w:rPr>
        <w:t xml:space="preserve"> kontek</w:t>
      </w:r>
      <w:r w:rsidR="003968B5" w:rsidRPr="008C78FC">
        <w:rPr>
          <w:szCs w:val="24"/>
          <w:lang w:val="hr-HR"/>
        </w:rPr>
        <w:t>st</w:t>
      </w:r>
      <w:r w:rsidR="008360D1" w:rsidRPr="008C78FC">
        <w:rPr>
          <w:szCs w:val="24"/>
          <w:lang w:val="hr-HR"/>
        </w:rPr>
        <w:t xml:space="preserve"> mogu </w:t>
      </w:r>
      <w:r w:rsidR="003968B5" w:rsidRPr="008C78FC">
        <w:rPr>
          <w:szCs w:val="24"/>
          <w:lang w:val="hr-HR"/>
        </w:rPr>
        <w:t xml:space="preserve">ukazati da sporazum nije sposoban ograničiti tržišno natjecanje i time pobiti </w:t>
      </w:r>
      <w:r w:rsidR="003968B5" w:rsidRPr="008C78FC">
        <w:rPr>
          <w:i/>
          <w:szCs w:val="24"/>
          <w:lang w:val="hr-HR"/>
        </w:rPr>
        <w:t xml:space="preserve">prima </w:t>
      </w:r>
      <w:proofErr w:type="spellStart"/>
      <w:r w:rsidR="003968B5" w:rsidRPr="008C78FC">
        <w:rPr>
          <w:i/>
          <w:szCs w:val="24"/>
          <w:lang w:val="hr-HR"/>
        </w:rPr>
        <w:t>facie</w:t>
      </w:r>
      <w:proofErr w:type="spellEnd"/>
      <w:r w:rsidR="00F22EF0">
        <w:rPr>
          <w:i/>
          <w:szCs w:val="24"/>
          <w:lang w:val="hr-HR"/>
        </w:rPr>
        <w:t xml:space="preserve"> </w:t>
      </w:r>
      <w:r w:rsidR="003968B5" w:rsidRPr="008C78FC">
        <w:rPr>
          <w:szCs w:val="24"/>
          <w:lang w:val="hr-HR"/>
        </w:rPr>
        <w:t>zaključ</w:t>
      </w:r>
      <w:r w:rsidR="00F22EF0">
        <w:rPr>
          <w:szCs w:val="24"/>
          <w:lang w:val="hr-HR"/>
        </w:rPr>
        <w:t xml:space="preserve">ak na temelju forme sporazuma. No, što sud podrazumijeva pod ekonomski i pravni kontekst ne možemo saznati iz presude u </w:t>
      </w:r>
      <w:r w:rsidR="003968B5" w:rsidRPr="008C78FC">
        <w:rPr>
          <w:szCs w:val="24"/>
          <w:lang w:val="hr-HR"/>
        </w:rPr>
        <w:t xml:space="preserve"> </w:t>
      </w:r>
      <w:proofErr w:type="spellStart"/>
      <w:r w:rsidR="003968B5" w:rsidRPr="008C78FC">
        <w:rPr>
          <w:i/>
          <w:szCs w:val="24"/>
          <w:lang w:val="hr-HR"/>
        </w:rPr>
        <w:t>Premier</w:t>
      </w:r>
      <w:proofErr w:type="spellEnd"/>
      <w:r w:rsidR="00F22EF0">
        <w:rPr>
          <w:i/>
          <w:szCs w:val="24"/>
          <w:lang w:val="hr-HR"/>
        </w:rPr>
        <w:t xml:space="preserve">  </w:t>
      </w:r>
      <w:proofErr w:type="spellStart"/>
      <w:r w:rsidR="00F22EF0">
        <w:rPr>
          <w:i/>
          <w:szCs w:val="24"/>
          <w:lang w:val="hr-HR"/>
        </w:rPr>
        <w:t>Leageau</w:t>
      </w:r>
      <w:proofErr w:type="spellEnd"/>
      <w:r w:rsidR="003968B5" w:rsidRPr="008C78FC">
        <w:rPr>
          <w:szCs w:val="24"/>
          <w:lang w:val="hr-HR"/>
        </w:rPr>
        <w:t xml:space="preserve">, jer prema zaključku Suda </w:t>
      </w:r>
      <w:proofErr w:type="spellStart"/>
      <w:r w:rsidR="003968B5" w:rsidRPr="008C78FC">
        <w:rPr>
          <w:i/>
          <w:szCs w:val="24"/>
          <w:lang w:val="hr-HR"/>
        </w:rPr>
        <w:t>Premier</w:t>
      </w:r>
      <w:proofErr w:type="spellEnd"/>
      <w:r w:rsidR="00F22EF0">
        <w:rPr>
          <w:i/>
          <w:szCs w:val="24"/>
          <w:lang w:val="hr-HR"/>
        </w:rPr>
        <w:t xml:space="preserve"> </w:t>
      </w:r>
      <w:proofErr w:type="spellStart"/>
      <w:r w:rsidR="003968B5" w:rsidRPr="008C78FC">
        <w:rPr>
          <w:i/>
          <w:szCs w:val="24"/>
          <w:lang w:val="hr-HR"/>
        </w:rPr>
        <w:t>League</w:t>
      </w:r>
      <w:proofErr w:type="spellEnd"/>
      <w:r w:rsidR="00F22EF0">
        <w:rPr>
          <w:i/>
          <w:szCs w:val="24"/>
          <w:lang w:val="hr-HR"/>
        </w:rPr>
        <w:t xml:space="preserve"> </w:t>
      </w:r>
      <w:r w:rsidR="003968B5" w:rsidRPr="008C78FC">
        <w:rPr>
          <w:szCs w:val="24"/>
          <w:lang w:val="hr-HR"/>
        </w:rPr>
        <w:t>nije pokazao da takve okolnosti i postoje.</w:t>
      </w:r>
      <w:r w:rsidR="003968B5" w:rsidRPr="008C78FC">
        <w:rPr>
          <w:rStyle w:val="Referencafusnote"/>
          <w:szCs w:val="24"/>
          <w:lang w:val="hr-HR"/>
        </w:rPr>
        <w:footnoteReference w:id="49"/>
      </w:r>
    </w:p>
    <w:p w:rsidR="00F22EF0" w:rsidRPr="00D221CD" w:rsidRDefault="003968B5" w:rsidP="00D221CD">
      <w:pPr>
        <w:spacing w:line="480" w:lineRule="auto"/>
        <w:rPr>
          <w:szCs w:val="24"/>
          <w:lang w:val="hr-HR"/>
        </w:rPr>
      </w:pPr>
      <w:r w:rsidRPr="008C78FC">
        <w:rPr>
          <w:szCs w:val="24"/>
          <w:lang w:val="hr-HR"/>
        </w:rPr>
        <w:t>Radi preglednosti problematike, a</w:t>
      </w:r>
      <w:r w:rsidR="00492A59" w:rsidRPr="008C78FC">
        <w:rPr>
          <w:szCs w:val="24"/>
          <w:lang w:val="hr-HR"/>
        </w:rPr>
        <w:t>rgumenti koje stranke izlažu se mogu podijeliti</w:t>
      </w:r>
      <w:r w:rsidR="0003195C" w:rsidRPr="008C78FC">
        <w:rPr>
          <w:szCs w:val="24"/>
          <w:lang w:val="hr-HR"/>
        </w:rPr>
        <w:t xml:space="preserve"> kako slijedi: (i) Izostanak sub</w:t>
      </w:r>
      <w:r w:rsidR="00492A59" w:rsidRPr="008C78FC">
        <w:rPr>
          <w:szCs w:val="24"/>
          <w:lang w:val="hr-HR"/>
        </w:rPr>
        <w:t xml:space="preserve">jektivne namjere da se ograniči tržišno natjecanja, </w:t>
      </w:r>
      <w:r w:rsidR="00F22EF0">
        <w:rPr>
          <w:szCs w:val="24"/>
          <w:lang w:val="hr-HR"/>
        </w:rPr>
        <w:t>(</w:t>
      </w:r>
      <w:proofErr w:type="spellStart"/>
      <w:r w:rsidR="00F22EF0">
        <w:rPr>
          <w:szCs w:val="24"/>
          <w:lang w:val="hr-HR"/>
        </w:rPr>
        <w:t>ii</w:t>
      </w:r>
      <w:proofErr w:type="spellEnd"/>
      <w:r w:rsidR="00F22EF0">
        <w:rPr>
          <w:szCs w:val="24"/>
          <w:lang w:val="hr-HR"/>
        </w:rPr>
        <w:t xml:space="preserve">) sporazum ne može ograničiti tržišno natjecanje (pobija teorije štete) </w:t>
      </w:r>
      <w:r w:rsidR="00492A59" w:rsidRPr="008C78FC">
        <w:rPr>
          <w:szCs w:val="24"/>
          <w:lang w:val="hr-HR"/>
        </w:rPr>
        <w:t>(</w:t>
      </w:r>
      <w:proofErr w:type="spellStart"/>
      <w:r w:rsidR="00F22EF0">
        <w:rPr>
          <w:szCs w:val="24"/>
          <w:lang w:val="hr-HR"/>
        </w:rPr>
        <w:t>i</w:t>
      </w:r>
      <w:r w:rsidR="00492A59" w:rsidRPr="008C78FC">
        <w:rPr>
          <w:szCs w:val="24"/>
          <w:lang w:val="hr-HR"/>
        </w:rPr>
        <w:t>ii</w:t>
      </w:r>
      <w:proofErr w:type="spellEnd"/>
      <w:r w:rsidR="00492A59" w:rsidRPr="008C78FC">
        <w:rPr>
          <w:szCs w:val="24"/>
          <w:lang w:val="hr-HR"/>
        </w:rPr>
        <w:t>)</w:t>
      </w:r>
      <w:r w:rsidR="00F22EF0">
        <w:rPr>
          <w:szCs w:val="24"/>
          <w:lang w:val="hr-HR"/>
        </w:rPr>
        <w:t xml:space="preserve"> sporazum</w:t>
      </w:r>
      <w:r w:rsidR="00492A59" w:rsidRPr="008C78FC">
        <w:rPr>
          <w:szCs w:val="24"/>
          <w:lang w:val="hr-HR"/>
        </w:rPr>
        <w:t xml:space="preserve"> je sklopljen s ciljem o</w:t>
      </w:r>
      <w:r w:rsidR="008360D1" w:rsidRPr="008C78FC">
        <w:rPr>
          <w:szCs w:val="24"/>
          <w:lang w:val="hr-HR"/>
        </w:rPr>
        <w:t>stvarenja neke legitimne svrhe.</w:t>
      </w:r>
      <w:bookmarkStart w:id="10" w:name="_Toc381547534"/>
      <w:r w:rsidR="00F22EF0">
        <w:rPr>
          <w:lang w:val="hr-HR"/>
        </w:rPr>
        <w:br w:type="page"/>
      </w:r>
    </w:p>
    <w:p w:rsidR="00492A59" w:rsidRPr="008C78FC" w:rsidRDefault="00492A59" w:rsidP="00E614C2">
      <w:pPr>
        <w:pStyle w:val="Naslov2"/>
        <w:numPr>
          <w:ilvl w:val="0"/>
          <w:numId w:val="8"/>
        </w:numPr>
        <w:rPr>
          <w:rFonts w:ascii="Times New Roman" w:hAnsi="Times New Roman" w:cs="Times New Roman"/>
          <w:lang w:val="hr-HR"/>
        </w:rPr>
      </w:pPr>
      <w:r w:rsidRPr="008C78FC">
        <w:rPr>
          <w:rFonts w:ascii="Times New Roman" w:hAnsi="Times New Roman" w:cs="Times New Roman"/>
          <w:lang w:val="hr-HR"/>
        </w:rPr>
        <w:lastRenderedPageBreak/>
        <w:t>Subjektivna namjera</w:t>
      </w:r>
      <w:bookmarkEnd w:id="10"/>
    </w:p>
    <w:p w:rsidR="00492A59" w:rsidRPr="008C78FC" w:rsidRDefault="00492A59" w:rsidP="005661C1">
      <w:pPr>
        <w:spacing w:line="480" w:lineRule="auto"/>
        <w:rPr>
          <w:szCs w:val="24"/>
          <w:lang w:val="hr-HR"/>
        </w:rPr>
      </w:pPr>
    </w:p>
    <w:p w:rsidR="00492A59" w:rsidRPr="008C78FC" w:rsidRDefault="00492A59" w:rsidP="00F22EF0">
      <w:pPr>
        <w:spacing w:line="480" w:lineRule="auto"/>
        <w:ind w:firstLine="360"/>
        <w:rPr>
          <w:szCs w:val="24"/>
          <w:lang w:val="hr-HR"/>
        </w:rPr>
      </w:pPr>
      <w:r w:rsidRPr="008C78FC">
        <w:rPr>
          <w:szCs w:val="24"/>
          <w:lang w:val="hr-HR"/>
        </w:rPr>
        <w:t>Uloga subjektivne namjere stranaka je v</w:t>
      </w:r>
      <w:r w:rsidR="00F22EF0">
        <w:rPr>
          <w:szCs w:val="24"/>
          <w:lang w:val="hr-HR"/>
        </w:rPr>
        <w:t xml:space="preserve">rlo diskutabilna problematika. </w:t>
      </w:r>
      <w:r w:rsidRPr="008C78FC">
        <w:rPr>
          <w:szCs w:val="24"/>
          <w:lang w:val="hr-HR"/>
        </w:rPr>
        <w:t>Iz prakse Suda se može zaključiti da subjektivna namjera nije nužan uvjet da bi se sporni ugovor okarakterizirao kao ograničenje po cilju</w:t>
      </w:r>
      <w:r w:rsidR="009737A3">
        <w:rPr>
          <w:rStyle w:val="Referencafusnote"/>
          <w:szCs w:val="24"/>
          <w:lang w:val="hr-HR"/>
        </w:rPr>
        <w:footnoteReference w:id="50"/>
      </w:r>
      <w:r w:rsidRPr="008C78FC">
        <w:rPr>
          <w:szCs w:val="24"/>
          <w:lang w:val="hr-HR"/>
        </w:rPr>
        <w:t xml:space="preserve"> U </w:t>
      </w:r>
      <w:proofErr w:type="spellStart"/>
      <w:r w:rsidR="00F22EF0">
        <w:rPr>
          <w:i/>
          <w:szCs w:val="24"/>
          <w:lang w:val="hr-HR"/>
        </w:rPr>
        <w:t>BIDS</w:t>
      </w:r>
      <w:proofErr w:type="spellEnd"/>
      <w:r w:rsidR="009737A3">
        <w:rPr>
          <w:rStyle w:val="Referencafusnote"/>
          <w:i/>
          <w:szCs w:val="24"/>
          <w:lang w:val="hr-HR"/>
        </w:rPr>
        <w:footnoteReference w:id="51"/>
      </w:r>
      <w:r w:rsidR="00F22EF0">
        <w:rPr>
          <w:i/>
          <w:szCs w:val="24"/>
          <w:lang w:val="hr-HR"/>
        </w:rPr>
        <w:t xml:space="preserve">, </w:t>
      </w:r>
      <w:r w:rsidR="00F22EF0" w:rsidRPr="00F22EF0">
        <w:rPr>
          <w:szCs w:val="24"/>
          <w:lang w:val="hr-HR"/>
        </w:rPr>
        <w:t>iako stranke nisu postupale</w:t>
      </w:r>
      <w:r w:rsidR="00F22EF0">
        <w:rPr>
          <w:szCs w:val="24"/>
          <w:lang w:val="hr-HR"/>
        </w:rPr>
        <w:t xml:space="preserve"> s</w:t>
      </w:r>
      <w:r w:rsidRPr="008C78FC">
        <w:rPr>
          <w:szCs w:val="24"/>
          <w:lang w:val="hr-HR"/>
        </w:rPr>
        <w:t xml:space="preserve"> namjerom da ograniče tržišno natjecanja i naude p</w:t>
      </w:r>
      <w:r w:rsidR="008E4E2F" w:rsidRPr="008C78FC">
        <w:rPr>
          <w:szCs w:val="24"/>
          <w:lang w:val="hr-HR"/>
        </w:rPr>
        <w:t>otrošačima</w:t>
      </w:r>
      <w:r w:rsidR="00F22EF0">
        <w:rPr>
          <w:szCs w:val="24"/>
          <w:lang w:val="hr-HR"/>
        </w:rPr>
        <w:t>, sporazum je po svojoj prirodi imao za cilj ograničenje tržišnog natjecanja</w:t>
      </w:r>
      <w:r w:rsidRPr="008C78FC">
        <w:rPr>
          <w:szCs w:val="24"/>
          <w:lang w:val="hr-HR"/>
        </w:rPr>
        <w:t xml:space="preserve">. </w:t>
      </w:r>
    </w:p>
    <w:p w:rsidR="00492A59" w:rsidRPr="008C78FC" w:rsidRDefault="00492A59" w:rsidP="005661C1">
      <w:pPr>
        <w:spacing w:line="480" w:lineRule="auto"/>
        <w:rPr>
          <w:szCs w:val="24"/>
          <w:lang w:val="hr-HR"/>
        </w:rPr>
      </w:pPr>
      <w:r w:rsidRPr="008C78FC">
        <w:rPr>
          <w:szCs w:val="24"/>
          <w:lang w:val="hr-HR"/>
        </w:rPr>
        <w:t>U akademskoj literat</w:t>
      </w:r>
      <w:r w:rsidR="008360D1" w:rsidRPr="008C78FC">
        <w:rPr>
          <w:szCs w:val="24"/>
          <w:lang w:val="hr-HR"/>
        </w:rPr>
        <w:t>u</w:t>
      </w:r>
      <w:r w:rsidRPr="008C78FC">
        <w:rPr>
          <w:szCs w:val="24"/>
          <w:lang w:val="hr-HR"/>
        </w:rPr>
        <w:t>ri najozbiljniji argument da je uloga subjektivne</w:t>
      </w:r>
      <w:r w:rsidR="00D2224D" w:rsidRPr="008C78FC">
        <w:rPr>
          <w:szCs w:val="24"/>
          <w:lang w:val="hr-HR"/>
        </w:rPr>
        <w:t xml:space="preserve"> namjere od presudne važnosti</w:t>
      </w:r>
      <w:r w:rsidRPr="008C78FC">
        <w:rPr>
          <w:szCs w:val="24"/>
          <w:lang w:val="hr-HR"/>
        </w:rPr>
        <w:t xml:space="preserve"> zastupao</w:t>
      </w:r>
      <w:r w:rsidR="00D2224D" w:rsidRPr="008C78FC">
        <w:rPr>
          <w:szCs w:val="24"/>
          <w:lang w:val="hr-HR"/>
        </w:rPr>
        <w:t xml:space="preserve"> je</w:t>
      </w:r>
      <w:r w:rsidRPr="008C78FC">
        <w:rPr>
          <w:szCs w:val="24"/>
          <w:lang w:val="hr-HR"/>
        </w:rPr>
        <w:t xml:space="preserve"> </w:t>
      </w:r>
      <w:proofErr w:type="spellStart"/>
      <w:r w:rsidRPr="008C78FC">
        <w:rPr>
          <w:szCs w:val="24"/>
          <w:lang w:val="hr-HR"/>
        </w:rPr>
        <w:t>dr</w:t>
      </w:r>
      <w:proofErr w:type="spellEnd"/>
      <w:r w:rsidR="00D2224D" w:rsidRPr="008C78FC">
        <w:rPr>
          <w:szCs w:val="24"/>
          <w:lang w:val="hr-HR"/>
        </w:rPr>
        <w:t xml:space="preserve"> </w:t>
      </w:r>
      <w:proofErr w:type="spellStart"/>
      <w:r w:rsidRPr="008C78FC">
        <w:rPr>
          <w:szCs w:val="24"/>
          <w:lang w:val="hr-HR"/>
        </w:rPr>
        <w:t>Okeoghene</w:t>
      </w:r>
      <w:proofErr w:type="spellEnd"/>
      <w:r w:rsidR="00D2224D" w:rsidRPr="008C78FC">
        <w:rPr>
          <w:szCs w:val="24"/>
          <w:lang w:val="hr-HR"/>
        </w:rPr>
        <w:t xml:space="preserve"> </w:t>
      </w:r>
      <w:proofErr w:type="spellStart"/>
      <w:r w:rsidRPr="008C78FC">
        <w:rPr>
          <w:szCs w:val="24"/>
          <w:lang w:val="hr-HR"/>
        </w:rPr>
        <w:t>Odudu</w:t>
      </w:r>
      <w:proofErr w:type="spellEnd"/>
      <w:r w:rsidR="0099719D" w:rsidRPr="008C78FC">
        <w:rPr>
          <w:rStyle w:val="Referencafusnote"/>
          <w:szCs w:val="24"/>
          <w:lang w:val="hr-HR"/>
        </w:rPr>
        <w:footnoteReference w:id="52"/>
      </w:r>
      <w:r w:rsidRPr="008C78FC">
        <w:rPr>
          <w:szCs w:val="24"/>
          <w:lang w:val="hr-HR"/>
        </w:rPr>
        <w:t>. Prema stajal</w:t>
      </w:r>
      <w:r w:rsidR="0099719D" w:rsidRPr="008C78FC">
        <w:rPr>
          <w:szCs w:val="24"/>
          <w:lang w:val="hr-HR"/>
        </w:rPr>
        <w:t>i</w:t>
      </w:r>
      <w:r w:rsidRPr="008C78FC">
        <w:rPr>
          <w:szCs w:val="24"/>
          <w:lang w:val="hr-HR"/>
        </w:rPr>
        <w:t xml:space="preserve">štu kategorija ograničenja po cilju se treba razumjeti kao presumpcija negativnih učinaka na temelju sadržaja namjere stranaka. </w:t>
      </w:r>
    </w:p>
    <w:p w:rsidR="00492A59" w:rsidRPr="008C78FC" w:rsidRDefault="00492A59" w:rsidP="005661C1">
      <w:pPr>
        <w:spacing w:line="480" w:lineRule="auto"/>
        <w:rPr>
          <w:szCs w:val="24"/>
          <w:lang w:val="hr-HR"/>
        </w:rPr>
      </w:pPr>
      <w:r w:rsidRPr="008C78FC">
        <w:rPr>
          <w:szCs w:val="24"/>
          <w:lang w:val="hr-HR"/>
        </w:rPr>
        <w:t>Primjena kriterija subjektivne namjere donekle</w:t>
      </w:r>
      <w:r w:rsidR="008360D1" w:rsidRPr="008C78FC">
        <w:rPr>
          <w:szCs w:val="24"/>
          <w:lang w:val="hr-HR"/>
        </w:rPr>
        <w:t xml:space="preserve"> može obja</w:t>
      </w:r>
      <w:r w:rsidRPr="008C78FC">
        <w:rPr>
          <w:szCs w:val="24"/>
          <w:lang w:val="hr-HR"/>
        </w:rPr>
        <w:t xml:space="preserve">sniti i određene konceptualne osnove ograničenja po cilju. Naime, kao što je istaknuto u uvodnom dijelu, glavno obilježje ograničenja po cilju je da za postojanje ograničenja tržišnog natjecanja nije potrebno da je sporni ugovor doista i ograničio stvarnu ili </w:t>
      </w:r>
      <w:r w:rsidR="0099719D" w:rsidRPr="008C78FC">
        <w:rPr>
          <w:szCs w:val="24"/>
          <w:lang w:val="hr-HR"/>
        </w:rPr>
        <w:t>potencijalnu</w:t>
      </w:r>
      <w:r w:rsidRPr="008C78FC">
        <w:rPr>
          <w:szCs w:val="24"/>
          <w:lang w:val="hr-HR"/>
        </w:rPr>
        <w:t xml:space="preserve"> konkurenciju na tržištu. Čak štoviše </w:t>
      </w:r>
      <w:proofErr w:type="spellStart"/>
      <w:r w:rsidRPr="008C78FC">
        <w:rPr>
          <w:szCs w:val="24"/>
          <w:lang w:val="hr-HR"/>
        </w:rPr>
        <w:t>irelevatno</w:t>
      </w:r>
      <w:proofErr w:type="spellEnd"/>
      <w:r w:rsidRPr="008C78FC">
        <w:rPr>
          <w:szCs w:val="24"/>
          <w:lang w:val="hr-HR"/>
        </w:rPr>
        <w:t xml:space="preserve"> je da li bi zbog izrazito malih tržišnih udjela stranke uopće mogle utjecati na tržište. Sama činjenice da ugovori postoje je dovoljna za primjenu prava tržišnog natjecanja i adekvatne sankcije. Za potrebe ove diskusije pretpostavimo da je za postojanje ograničenja tržišnog natjecanja nužno da su stranke namjeravale ograničiti tržišno natjec</w:t>
      </w:r>
      <w:r w:rsidR="008E4E2F" w:rsidRPr="008C78FC">
        <w:rPr>
          <w:szCs w:val="24"/>
          <w:lang w:val="hr-HR"/>
        </w:rPr>
        <w:t xml:space="preserve">anje. Okolnost da </w:t>
      </w:r>
      <w:r w:rsidR="008E4E2F" w:rsidRPr="008C78FC">
        <w:rPr>
          <w:szCs w:val="24"/>
          <w:lang w:val="hr-HR"/>
        </w:rPr>
        <w:lastRenderedPageBreak/>
        <w:t>ugovor još n</w:t>
      </w:r>
      <w:r w:rsidRPr="008C78FC">
        <w:rPr>
          <w:szCs w:val="24"/>
          <w:lang w:val="hr-HR"/>
        </w:rPr>
        <w:t xml:space="preserve">e implementira ili je implementiran ali zbog premalog udjela na tržištu stranke nisu mogle utjecati na </w:t>
      </w:r>
      <w:proofErr w:type="spellStart"/>
      <w:r w:rsidRPr="008C78FC">
        <w:rPr>
          <w:szCs w:val="24"/>
          <w:lang w:val="hr-HR"/>
        </w:rPr>
        <w:t>povećenje</w:t>
      </w:r>
      <w:proofErr w:type="spellEnd"/>
      <w:r w:rsidRPr="008C78FC">
        <w:rPr>
          <w:szCs w:val="24"/>
          <w:lang w:val="hr-HR"/>
        </w:rPr>
        <w:t xml:space="preserve"> cijena, već je </w:t>
      </w:r>
      <w:proofErr w:type="spellStart"/>
      <w:r w:rsidRPr="008C78FC">
        <w:rPr>
          <w:szCs w:val="24"/>
          <w:lang w:val="hr-HR"/>
        </w:rPr>
        <w:t>implemetacija</w:t>
      </w:r>
      <w:proofErr w:type="spellEnd"/>
      <w:r w:rsidRPr="008C78FC">
        <w:rPr>
          <w:szCs w:val="24"/>
          <w:lang w:val="hr-HR"/>
        </w:rPr>
        <w:t xml:space="preserve"> prouzročila štetu samo njima u obliku gubitka kupaca. Zašto i u toj situaciji pravo tržišnog natjecanja, kao princip, ne isključuje pravne posljedice? Paralele su moguće sa konceptom kaznenih djela pokušaja. Naime, </w:t>
      </w:r>
      <w:r w:rsidR="008E4E2F" w:rsidRPr="008C78FC">
        <w:rPr>
          <w:szCs w:val="24"/>
          <w:lang w:val="hr-HR"/>
        </w:rPr>
        <w:t>n</w:t>
      </w:r>
      <w:r w:rsidRPr="008C78FC">
        <w:rPr>
          <w:szCs w:val="24"/>
          <w:lang w:val="hr-HR"/>
        </w:rPr>
        <w:t xml:space="preserve">esklonost da se prihvati argument subjektivne namjere u kontekstu ograničenja po cilju se svakako može razumjeti i sa praktične strane. Stranke su pokušavale izbjeći odgovornost tvrdeći da je druga stranka ugovora inzistirala na unošenju sporne klauzule i da stoga nije postojao konsenzus među strankama da se ograniči tržišno natjecanje. </w:t>
      </w:r>
    </w:p>
    <w:p w:rsidR="008B00CE" w:rsidRPr="008C78FC" w:rsidRDefault="00492A59" w:rsidP="008B00CE">
      <w:pPr>
        <w:spacing w:line="480" w:lineRule="auto"/>
        <w:rPr>
          <w:szCs w:val="24"/>
          <w:lang w:val="hr-HR"/>
        </w:rPr>
      </w:pPr>
      <w:r w:rsidRPr="008C78FC">
        <w:rPr>
          <w:szCs w:val="24"/>
          <w:lang w:val="hr-HR"/>
        </w:rPr>
        <w:t xml:space="preserve">Stoga, namjera ograničenja tržišnog natjecanja se treba shvatiti u objektivnom smislu. U ugovornom pravu postoji adekvatan institut standard razumnog čovjeka. Naime, ponašanje se procjenjuje ne prema subjektivnom stajalištu pojedinca već prema objektivno utvrđenom </w:t>
      </w:r>
      <w:proofErr w:type="spellStart"/>
      <w:r w:rsidRPr="008C78FC">
        <w:rPr>
          <w:szCs w:val="24"/>
          <w:lang w:val="hr-HR"/>
        </w:rPr>
        <w:t>zanačenju</w:t>
      </w:r>
      <w:proofErr w:type="spellEnd"/>
      <w:r w:rsidRPr="008C78FC">
        <w:rPr>
          <w:szCs w:val="24"/>
          <w:lang w:val="hr-HR"/>
        </w:rPr>
        <w:t xml:space="preserve"> ugovora.</w:t>
      </w:r>
    </w:p>
    <w:p w:rsidR="005C6D74" w:rsidRPr="009737A3" w:rsidRDefault="004874B4" w:rsidP="009737A3">
      <w:pPr>
        <w:pStyle w:val="Naslov2"/>
        <w:numPr>
          <w:ilvl w:val="0"/>
          <w:numId w:val="8"/>
        </w:numPr>
        <w:rPr>
          <w:color w:val="000000"/>
          <w:sz w:val="23"/>
          <w:szCs w:val="23"/>
          <w:lang w:val="hr-HR"/>
        </w:rPr>
      </w:pPr>
      <w:bookmarkStart w:id="11" w:name="_Toc381547535"/>
      <w:r w:rsidRPr="009737A3">
        <w:rPr>
          <w:lang w:val="hr-HR"/>
        </w:rPr>
        <w:t>ograničenja tržišnog natjecanja</w:t>
      </w:r>
    </w:p>
    <w:p w:rsidR="004874B4" w:rsidRDefault="004874B4" w:rsidP="004874B4">
      <w:pPr>
        <w:rPr>
          <w:lang w:val="hr-HR"/>
        </w:rPr>
      </w:pPr>
    </w:p>
    <w:p w:rsidR="009737A3" w:rsidRDefault="00363A4A" w:rsidP="009737A3">
      <w:pPr>
        <w:spacing w:line="480" w:lineRule="auto"/>
        <w:rPr>
          <w:szCs w:val="24"/>
          <w:lang w:val="hr-HR"/>
        </w:rPr>
      </w:pPr>
      <w:r>
        <w:rPr>
          <w:szCs w:val="24"/>
          <w:lang w:val="hr-HR"/>
        </w:rPr>
        <w:t xml:space="preserve">Kao što je istaknuto </w:t>
      </w:r>
      <w:r w:rsidR="004874B4" w:rsidRPr="00363A4A">
        <w:rPr>
          <w:szCs w:val="24"/>
          <w:lang w:val="hr-HR"/>
        </w:rPr>
        <w:t xml:space="preserve">u uvodnom dijelu, ukoliko se radi o sporazumu koji za svoj cilj ima ograničenje tržišnog natjecanja, nema potrebe utvrđivati učinke na stvarnu ili potencijalnu konkurenciju. </w:t>
      </w:r>
      <w:r>
        <w:rPr>
          <w:szCs w:val="24"/>
          <w:lang w:val="hr-HR"/>
        </w:rPr>
        <w:t>No, k</w:t>
      </w:r>
      <w:r w:rsidRPr="00363A4A">
        <w:rPr>
          <w:szCs w:val="24"/>
          <w:lang w:val="hr-HR"/>
        </w:rPr>
        <w:t xml:space="preserve">oliko god presumpcija o nužno restriktivnim učincima određene kategorije sporazuma bila teorijski osnova, postoji mogućnost da u konkretnoj situaciji to ne će biti tako. Stranke se su iz tog razloga često isticale </w:t>
      </w:r>
      <w:r w:rsidRPr="00363A4A">
        <w:rPr>
          <w:i/>
          <w:szCs w:val="24"/>
          <w:lang w:val="hr-HR"/>
        </w:rPr>
        <w:t xml:space="preserve">teorija šteta </w:t>
      </w:r>
      <w:r w:rsidRPr="00363A4A">
        <w:rPr>
          <w:szCs w:val="24"/>
          <w:lang w:val="hr-HR"/>
        </w:rPr>
        <w:t xml:space="preserve">nije primjerena u njihovoj situaciji jer zbog uvjeta na tržištu njihov sporazum je jednostavno neprimjereno sredstvo za ograničenje tržišnog natjecanja. </w:t>
      </w:r>
    </w:p>
    <w:p w:rsidR="00562D2E" w:rsidRDefault="00363A4A" w:rsidP="009737A3">
      <w:pPr>
        <w:spacing w:line="480" w:lineRule="auto"/>
        <w:ind w:firstLine="360"/>
        <w:rPr>
          <w:szCs w:val="24"/>
          <w:lang w:val="hr-HR"/>
        </w:rPr>
      </w:pPr>
      <w:r w:rsidRPr="00363A4A">
        <w:rPr>
          <w:szCs w:val="24"/>
          <w:lang w:val="hr-HR"/>
        </w:rPr>
        <w:lastRenderedPageBreak/>
        <w:t xml:space="preserve">U predmetu </w:t>
      </w:r>
      <w:proofErr w:type="spellStart"/>
      <w:r w:rsidRPr="00363A4A">
        <w:rPr>
          <w:i/>
          <w:iCs/>
          <w:szCs w:val="24"/>
          <w:lang w:val="hr-HR"/>
        </w:rPr>
        <w:t>Rhône</w:t>
      </w:r>
      <w:proofErr w:type="spellEnd"/>
      <w:r w:rsidRPr="00363A4A">
        <w:rPr>
          <w:i/>
          <w:iCs/>
          <w:szCs w:val="24"/>
          <w:lang w:val="hr-HR"/>
        </w:rPr>
        <w:t>-</w:t>
      </w:r>
      <w:proofErr w:type="spellStart"/>
      <w:r w:rsidRPr="00363A4A">
        <w:rPr>
          <w:i/>
          <w:iCs/>
          <w:szCs w:val="24"/>
          <w:lang w:val="hr-HR"/>
        </w:rPr>
        <w:t>Poulenc</w:t>
      </w:r>
      <w:proofErr w:type="spellEnd"/>
      <w:r>
        <w:rPr>
          <w:rStyle w:val="Referencafusnote"/>
          <w:i/>
          <w:iCs/>
          <w:szCs w:val="24"/>
          <w:lang w:val="hr-HR"/>
        </w:rPr>
        <w:footnoteReference w:id="53"/>
      </w:r>
      <w:r w:rsidRPr="00363A4A">
        <w:rPr>
          <w:szCs w:val="24"/>
          <w:lang w:val="hr-HR"/>
        </w:rPr>
        <w:t xml:space="preserve"> s</w:t>
      </w:r>
      <w:r w:rsidR="00562D2E" w:rsidRPr="00363A4A">
        <w:rPr>
          <w:szCs w:val="24"/>
          <w:lang w:val="hr-HR"/>
        </w:rPr>
        <w:t>tranke su pobijale same teorijske temelje zabrane dogovora cijena među tržišnim takmacima u sustavu oligopola. Naime, tvrdili da njihov dogovor o cijenama neće moći prouzroč</w:t>
      </w:r>
      <w:r w:rsidRPr="00363A4A">
        <w:rPr>
          <w:szCs w:val="24"/>
          <w:lang w:val="hr-HR"/>
        </w:rPr>
        <w:t>iti negativne učinke na tržištu te će u</w:t>
      </w:r>
      <w:r w:rsidR="00562D2E" w:rsidRPr="00363A4A">
        <w:rPr>
          <w:szCs w:val="24"/>
          <w:lang w:val="hr-HR"/>
        </w:rPr>
        <w:t xml:space="preserve"> konačnici</w:t>
      </w:r>
      <w:r w:rsidRPr="00363A4A">
        <w:rPr>
          <w:szCs w:val="24"/>
          <w:lang w:val="hr-HR"/>
        </w:rPr>
        <w:t xml:space="preserve">, njihovo </w:t>
      </w:r>
      <w:proofErr w:type="spellStart"/>
      <w:r w:rsidRPr="00363A4A">
        <w:rPr>
          <w:szCs w:val="24"/>
          <w:lang w:val="hr-HR"/>
        </w:rPr>
        <w:t>koluzivno</w:t>
      </w:r>
      <w:proofErr w:type="spellEnd"/>
      <w:r w:rsidRPr="00363A4A">
        <w:rPr>
          <w:szCs w:val="24"/>
          <w:lang w:val="hr-HR"/>
        </w:rPr>
        <w:t xml:space="preserve"> ponašanje</w:t>
      </w:r>
      <w:r w:rsidR="00562D2E" w:rsidRPr="00363A4A">
        <w:rPr>
          <w:szCs w:val="24"/>
          <w:lang w:val="hr-HR"/>
        </w:rPr>
        <w:t xml:space="preserve"> štetiti samo njima samima. Sud je odbacio takve argumente, a sudac </w:t>
      </w:r>
      <w:proofErr w:type="spellStart"/>
      <w:r w:rsidR="00562D2E" w:rsidRPr="00363A4A">
        <w:rPr>
          <w:szCs w:val="24"/>
          <w:lang w:val="hr-HR"/>
        </w:rPr>
        <w:t>Vesterdorf</w:t>
      </w:r>
      <w:proofErr w:type="spellEnd"/>
      <w:r w:rsidR="00562D2E" w:rsidRPr="00363A4A">
        <w:rPr>
          <w:rStyle w:val="Referencafusnote"/>
          <w:szCs w:val="24"/>
          <w:lang w:val="hr-HR"/>
        </w:rPr>
        <w:footnoteReference w:id="54"/>
      </w:r>
      <w:r w:rsidR="00562D2E" w:rsidRPr="00363A4A">
        <w:rPr>
          <w:szCs w:val="24"/>
          <w:lang w:val="hr-HR"/>
        </w:rPr>
        <w:t xml:space="preserve"> je smatrao “da bi bilo nužno pokazati da među akademskim autorima postoji </w:t>
      </w:r>
      <w:r w:rsidRPr="00363A4A">
        <w:rPr>
          <w:szCs w:val="24"/>
          <w:lang w:val="hr-HR"/>
        </w:rPr>
        <w:t>konsenzus</w:t>
      </w:r>
      <w:r w:rsidR="00562D2E" w:rsidRPr="00363A4A">
        <w:rPr>
          <w:szCs w:val="24"/>
          <w:lang w:val="hr-HR"/>
        </w:rPr>
        <w:t xml:space="preserve"> da tržište </w:t>
      </w:r>
      <w:r w:rsidR="00562D2E" w:rsidRPr="00363A4A">
        <w:rPr>
          <w:b/>
          <w:szCs w:val="24"/>
          <w:lang w:val="hr-HR"/>
        </w:rPr>
        <w:t>nikada</w:t>
      </w:r>
      <w:r w:rsidR="00562D2E" w:rsidRPr="00363A4A">
        <w:rPr>
          <w:szCs w:val="24"/>
          <w:lang w:val="hr-HR"/>
        </w:rPr>
        <w:t xml:space="preserve"> ne bi moglo biti ograničeno na način na koji stranke to žele učiniti.”</w:t>
      </w:r>
      <w:r w:rsidR="00562D2E" w:rsidRPr="00363A4A">
        <w:rPr>
          <w:rStyle w:val="Referencafusnote"/>
          <w:szCs w:val="24"/>
          <w:lang w:val="hr-HR"/>
        </w:rPr>
        <w:footnoteReference w:id="55"/>
      </w:r>
    </w:p>
    <w:p w:rsidR="00D677F9" w:rsidRPr="008C78FC" w:rsidRDefault="0083165C" w:rsidP="0083165C">
      <w:pPr>
        <w:pStyle w:val="Naslov2"/>
        <w:numPr>
          <w:ilvl w:val="0"/>
          <w:numId w:val="8"/>
        </w:numPr>
        <w:rPr>
          <w:lang w:val="hr-HR"/>
        </w:rPr>
      </w:pPr>
      <w:r w:rsidRPr="008C78FC">
        <w:rPr>
          <w:lang w:val="hr-HR"/>
        </w:rPr>
        <w:t>Objektivno</w:t>
      </w:r>
      <w:r w:rsidR="008C78FC" w:rsidRPr="008C78FC">
        <w:rPr>
          <w:lang w:val="hr-HR"/>
        </w:rPr>
        <w:t xml:space="preserve"> </w:t>
      </w:r>
      <w:r w:rsidRPr="008C78FC">
        <w:rPr>
          <w:lang w:val="hr-HR"/>
        </w:rPr>
        <w:t>nužna</w:t>
      </w:r>
      <w:r w:rsidR="008C78FC" w:rsidRPr="008C78FC">
        <w:rPr>
          <w:lang w:val="hr-HR"/>
        </w:rPr>
        <w:t xml:space="preserve"> </w:t>
      </w:r>
      <w:r w:rsidRPr="008C78FC">
        <w:rPr>
          <w:lang w:val="hr-HR"/>
        </w:rPr>
        <w:t>ograničenja</w:t>
      </w:r>
      <w:bookmarkEnd w:id="11"/>
    </w:p>
    <w:p w:rsidR="00192ACE" w:rsidRPr="008C78FC" w:rsidRDefault="00192ACE" w:rsidP="00192ACE">
      <w:pPr>
        <w:rPr>
          <w:lang w:val="hr-HR"/>
        </w:rPr>
      </w:pPr>
    </w:p>
    <w:p w:rsidR="0083165C" w:rsidRPr="008C78FC" w:rsidRDefault="0083165C" w:rsidP="0083165C">
      <w:pPr>
        <w:spacing w:line="480" w:lineRule="auto"/>
        <w:ind w:firstLine="360"/>
        <w:rPr>
          <w:szCs w:val="24"/>
          <w:lang w:val="hr-HR"/>
        </w:rPr>
      </w:pPr>
      <w:r w:rsidRPr="008C78FC">
        <w:rPr>
          <w:szCs w:val="24"/>
          <w:lang w:val="hr-HR"/>
        </w:rPr>
        <w:t xml:space="preserve">Kao što je objašnjeno u prethodnim poglavljima cilj sporazuma se utvrđuje u objektivnom smislu, neovisno o tome što su stranke namjeravale. No, tumačenje koncepta ‘ograničenje po cilju’ kao </w:t>
      </w:r>
      <w:r w:rsidR="00E17A15" w:rsidRPr="008C78FC">
        <w:rPr>
          <w:szCs w:val="24"/>
          <w:lang w:val="hr-HR"/>
        </w:rPr>
        <w:t>presumpcije</w:t>
      </w:r>
      <w:r w:rsidRPr="008C78FC">
        <w:rPr>
          <w:szCs w:val="24"/>
          <w:lang w:val="hr-HR"/>
        </w:rPr>
        <w:t xml:space="preserve"> otvara i drugi problem. Naime, pojedini ugovor može ići za više ciljeva, odnosno može imati više nužnih posljedica. Neki od tih ciljeva mogu biti sasvim legitimni, čak štoviše i pozitivni za tržišno natjecanje gledano u cjelini. Kako se članak 101(1) </w:t>
      </w:r>
      <w:proofErr w:type="spellStart"/>
      <w:r w:rsidRPr="008C78FC">
        <w:rPr>
          <w:szCs w:val="24"/>
          <w:lang w:val="hr-HR"/>
        </w:rPr>
        <w:t>UFEU</w:t>
      </w:r>
      <w:proofErr w:type="spellEnd"/>
      <w:r w:rsidRPr="008C78FC">
        <w:rPr>
          <w:szCs w:val="24"/>
          <w:lang w:val="hr-HR"/>
        </w:rPr>
        <w:t xml:space="preserve"> primjenjuje na njih?</w:t>
      </w:r>
    </w:p>
    <w:p w:rsidR="0083165C" w:rsidRPr="008C78FC" w:rsidRDefault="0083165C" w:rsidP="0083165C">
      <w:pPr>
        <w:spacing w:line="480" w:lineRule="auto"/>
        <w:ind w:firstLine="360"/>
        <w:rPr>
          <w:szCs w:val="24"/>
          <w:lang w:val="hr-HR"/>
        </w:rPr>
      </w:pPr>
      <w:r w:rsidRPr="008C78FC">
        <w:rPr>
          <w:szCs w:val="24"/>
          <w:lang w:val="hr-HR"/>
        </w:rPr>
        <w:t xml:space="preserve">U predmetu </w:t>
      </w:r>
      <w:r w:rsidRPr="008C78FC">
        <w:rPr>
          <w:i/>
          <w:szCs w:val="24"/>
          <w:lang w:val="hr-HR"/>
        </w:rPr>
        <w:t>General Motors v. Komisija</w:t>
      </w:r>
      <w:r w:rsidRPr="008C78FC">
        <w:rPr>
          <w:rStyle w:val="Referencafusnote"/>
          <w:rFonts w:eastAsiaTheme="majorEastAsia"/>
          <w:i/>
          <w:szCs w:val="24"/>
          <w:lang w:val="hr-HR"/>
        </w:rPr>
        <w:footnoteReference w:id="56"/>
      </w:r>
      <w:r w:rsidRPr="008C78FC">
        <w:rPr>
          <w:szCs w:val="24"/>
          <w:lang w:val="hr-HR"/>
        </w:rPr>
        <w:t xml:space="preserve"> Sud </w:t>
      </w:r>
      <w:r w:rsidR="008E4E2F" w:rsidRPr="008C78FC">
        <w:rPr>
          <w:szCs w:val="24"/>
          <w:lang w:val="hr-HR"/>
        </w:rPr>
        <w:t xml:space="preserve">je </w:t>
      </w:r>
      <w:r w:rsidRPr="008C78FC">
        <w:rPr>
          <w:szCs w:val="24"/>
          <w:lang w:val="hr-HR"/>
        </w:rPr>
        <w:t>nastupio vrlo isključivo istaknuvši da se ograničenjem po cilju može smatrati i ugovor koji nema samo ograničenje tržišnog natjecanja kao svoj</w:t>
      </w:r>
      <w:r w:rsidR="00E17A15" w:rsidRPr="008C78FC">
        <w:rPr>
          <w:szCs w:val="24"/>
          <w:lang w:val="hr-HR"/>
        </w:rPr>
        <w:t xml:space="preserve"> jedini</w:t>
      </w:r>
      <w:r w:rsidRPr="008C78FC">
        <w:rPr>
          <w:szCs w:val="24"/>
          <w:lang w:val="hr-HR"/>
        </w:rPr>
        <w:t xml:space="preserve"> cilj. Prema stajalištu suda ta se okolnost može uzeti u obzir jedino u kontekstu pravila izuzetka iz članka 101(3) </w:t>
      </w:r>
      <w:proofErr w:type="spellStart"/>
      <w:r w:rsidRPr="008C78FC">
        <w:rPr>
          <w:szCs w:val="24"/>
          <w:lang w:val="hr-HR"/>
        </w:rPr>
        <w:t>UFEU</w:t>
      </w:r>
      <w:proofErr w:type="spellEnd"/>
      <w:r w:rsidRPr="008C78FC">
        <w:rPr>
          <w:szCs w:val="24"/>
          <w:lang w:val="hr-HR"/>
        </w:rPr>
        <w:t xml:space="preserve"> balansiranjem negativnih i pozitivnih učinaka.</w:t>
      </w:r>
    </w:p>
    <w:p w:rsidR="0083165C" w:rsidRDefault="0083165C" w:rsidP="0083165C">
      <w:pPr>
        <w:spacing w:line="480" w:lineRule="auto"/>
        <w:ind w:firstLine="360"/>
        <w:rPr>
          <w:szCs w:val="24"/>
          <w:lang w:val="hr-HR"/>
        </w:rPr>
      </w:pPr>
      <w:r w:rsidRPr="008C78FC">
        <w:rPr>
          <w:szCs w:val="24"/>
          <w:lang w:val="hr-HR"/>
        </w:rPr>
        <w:lastRenderedPageBreak/>
        <w:t xml:space="preserve">Međutim, praksa Suda ne potvrđuje u potpunosti takav isključiv zaključak. Sud u određenim okolnosti prepoznao da i sporazum koji sadrži vrlo ozbiljno ograničenje ipak može u potpunosti izbjeći doseg zabrane iz članka 101(1) </w:t>
      </w:r>
      <w:proofErr w:type="spellStart"/>
      <w:r w:rsidRPr="008C78FC">
        <w:rPr>
          <w:szCs w:val="24"/>
          <w:lang w:val="hr-HR"/>
        </w:rPr>
        <w:t>UFEU</w:t>
      </w:r>
      <w:proofErr w:type="spellEnd"/>
      <w:r w:rsidRPr="008C78FC">
        <w:rPr>
          <w:szCs w:val="24"/>
          <w:lang w:val="hr-HR"/>
        </w:rPr>
        <w:t xml:space="preserve">. </w:t>
      </w:r>
    </w:p>
    <w:p w:rsidR="00B925AB" w:rsidRDefault="00B925AB" w:rsidP="0079224B">
      <w:pPr>
        <w:pStyle w:val="Naslov3"/>
        <w:rPr>
          <w:lang w:val="hr-HR"/>
        </w:rPr>
      </w:pPr>
      <w:r>
        <w:rPr>
          <w:lang w:val="hr-HR"/>
        </w:rPr>
        <w:t>Legitiman poslovni cilj</w:t>
      </w:r>
    </w:p>
    <w:p w:rsidR="0079224B" w:rsidRDefault="0079224B" w:rsidP="0079224B">
      <w:pPr>
        <w:rPr>
          <w:lang w:val="hr-HR"/>
        </w:rPr>
      </w:pPr>
    </w:p>
    <w:p w:rsidR="0079224B" w:rsidRDefault="0079224B" w:rsidP="00BE1045">
      <w:pPr>
        <w:spacing w:line="480" w:lineRule="auto"/>
        <w:ind w:firstLine="708"/>
        <w:rPr>
          <w:lang w:val="hr-HR"/>
        </w:rPr>
      </w:pPr>
      <w:r>
        <w:rPr>
          <w:lang w:val="hr-HR"/>
        </w:rPr>
        <w:t xml:space="preserve">U predmetu </w:t>
      </w:r>
      <w:proofErr w:type="spellStart"/>
      <w:r w:rsidR="00896FE0" w:rsidRPr="00896FE0">
        <w:rPr>
          <w:rFonts w:cstheme="minorHAnsi"/>
          <w:i/>
          <w:szCs w:val="24"/>
          <w:lang w:val="hr-HR"/>
        </w:rPr>
        <w:t>Erauw</w:t>
      </w:r>
      <w:proofErr w:type="spellEnd"/>
      <w:r w:rsidR="00896FE0" w:rsidRPr="00896FE0">
        <w:rPr>
          <w:rFonts w:cstheme="minorHAnsi"/>
          <w:i/>
          <w:szCs w:val="24"/>
          <w:lang w:val="hr-HR"/>
        </w:rPr>
        <w:t xml:space="preserve"> </w:t>
      </w:r>
      <w:proofErr w:type="spellStart"/>
      <w:r w:rsidR="00896FE0" w:rsidRPr="00896FE0">
        <w:rPr>
          <w:rFonts w:cstheme="minorHAnsi"/>
          <w:i/>
          <w:szCs w:val="24"/>
          <w:lang w:val="hr-HR"/>
        </w:rPr>
        <w:t>Jacquery</w:t>
      </w:r>
      <w:proofErr w:type="spellEnd"/>
      <w:r w:rsidR="00896FE0" w:rsidRPr="006F391D">
        <w:rPr>
          <w:rStyle w:val="Referencafusnote"/>
          <w:rFonts w:cstheme="minorHAnsi"/>
          <w:i/>
          <w:szCs w:val="24"/>
        </w:rPr>
        <w:footnoteReference w:id="57"/>
      </w:r>
      <w:r w:rsidR="00896FE0">
        <w:rPr>
          <w:i/>
          <w:lang w:val="hr-HR"/>
        </w:rPr>
        <w:t xml:space="preserve"> </w:t>
      </w:r>
      <w:r w:rsidR="00896FE0" w:rsidRPr="00896FE0">
        <w:rPr>
          <w:lang w:val="hr-HR"/>
        </w:rPr>
        <w:t>Sud je odlučivao o,među</w:t>
      </w:r>
      <w:r w:rsidR="00E307A9">
        <w:rPr>
          <w:lang w:val="hr-HR"/>
        </w:rPr>
        <w:t xml:space="preserve"> </w:t>
      </w:r>
      <w:r w:rsidR="00896FE0" w:rsidRPr="00896FE0">
        <w:rPr>
          <w:lang w:val="hr-HR"/>
        </w:rPr>
        <w:t>ostalim, zabrani izvoza u kontek</w:t>
      </w:r>
      <w:r w:rsidRPr="00896FE0">
        <w:rPr>
          <w:lang w:val="hr-HR"/>
        </w:rPr>
        <w:t>stu sporazuma o distribuciji.</w:t>
      </w:r>
      <w:r>
        <w:rPr>
          <w:i/>
          <w:lang w:val="hr-HR"/>
        </w:rPr>
        <w:t xml:space="preserve"> </w:t>
      </w:r>
      <w:proofErr w:type="spellStart"/>
      <w:r w:rsidR="00896FE0">
        <w:rPr>
          <w:i/>
          <w:lang w:val="hr-HR"/>
        </w:rPr>
        <w:t>E</w:t>
      </w:r>
      <w:r>
        <w:rPr>
          <w:i/>
          <w:lang w:val="hr-HR"/>
        </w:rPr>
        <w:t>rauw</w:t>
      </w:r>
      <w:proofErr w:type="spellEnd"/>
      <w:r>
        <w:rPr>
          <w:i/>
          <w:lang w:val="hr-HR"/>
        </w:rPr>
        <w:t xml:space="preserve"> je </w:t>
      </w:r>
      <w:r w:rsidR="00896FE0">
        <w:rPr>
          <w:i/>
          <w:lang w:val="hr-HR"/>
        </w:rPr>
        <w:t xml:space="preserve">tvrtka koja se bavi razvojem novih sorti žitarica </w:t>
      </w:r>
      <w:r w:rsidR="00896FE0">
        <w:rPr>
          <w:lang w:val="hr-HR"/>
        </w:rPr>
        <w:t xml:space="preserve">i nositelji su prava intelektualno vlasništva na razvijene nove sorte koje je po svom učinku slično patentu. </w:t>
      </w:r>
      <w:proofErr w:type="spellStart"/>
      <w:r w:rsidR="00896FE0">
        <w:rPr>
          <w:lang w:val="hr-HR"/>
        </w:rPr>
        <w:t>Erauw</w:t>
      </w:r>
      <w:proofErr w:type="spellEnd"/>
      <w:r w:rsidR="00896FE0">
        <w:rPr>
          <w:lang w:val="hr-HR"/>
        </w:rPr>
        <w:t xml:space="preserve"> je svojim distributerima zabranio izvoz temeljnog sjemena (</w:t>
      </w:r>
      <w:proofErr w:type="spellStart"/>
      <w:r w:rsidR="00896FE0">
        <w:rPr>
          <w:lang w:val="hr-HR"/>
        </w:rPr>
        <w:t>basic</w:t>
      </w:r>
      <w:proofErr w:type="spellEnd"/>
      <w:r w:rsidR="00896FE0">
        <w:rPr>
          <w:lang w:val="hr-HR"/>
        </w:rPr>
        <w:t xml:space="preserve"> </w:t>
      </w:r>
      <w:proofErr w:type="spellStart"/>
      <w:r w:rsidR="00896FE0">
        <w:rPr>
          <w:lang w:val="hr-HR"/>
        </w:rPr>
        <w:t>seed</w:t>
      </w:r>
      <w:proofErr w:type="spellEnd"/>
      <w:r w:rsidR="00896FE0">
        <w:rPr>
          <w:lang w:val="hr-HR"/>
        </w:rPr>
        <w:t xml:space="preserve">). Ta vrsta sjemena se ne koristi za proizvodnju žitarica, već za daljnju propagaciju i razvoj sorti žitarica. </w:t>
      </w:r>
      <w:proofErr w:type="spellStart"/>
      <w:r w:rsidR="00896FE0">
        <w:rPr>
          <w:lang w:val="hr-HR"/>
        </w:rPr>
        <w:t>Erauw</w:t>
      </w:r>
      <w:proofErr w:type="spellEnd"/>
      <w:r w:rsidR="00896FE0">
        <w:rPr>
          <w:lang w:val="hr-HR"/>
        </w:rPr>
        <w:t xml:space="preserve"> je zabranu opravdao time da je to bilo nužno kako bi samo on odredio tko će iskorištavati njegovo pravo vlasništva. </w:t>
      </w:r>
      <w:r w:rsidR="00E307A9">
        <w:rPr>
          <w:lang w:val="hr-HR"/>
        </w:rPr>
        <w:t xml:space="preserve">Sud je prihvatio argumentaciju i zaključio da, iako spomenuta odredba sporazuma o distribuciji </w:t>
      </w:r>
      <w:r w:rsidR="00E307A9">
        <w:rPr>
          <w:i/>
          <w:lang w:val="hr-HR"/>
        </w:rPr>
        <w:t xml:space="preserve">de </w:t>
      </w:r>
      <w:proofErr w:type="spellStart"/>
      <w:r w:rsidR="00E307A9">
        <w:rPr>
          <w:i/>
          <w:lang w:val="hr-HR"/>
        </w:rPr>
        <w:t>facto</w:t>
      </w:r>
      <w:proofErr w:type="spellEnd"/>
      <w:r w:rsidR="00E307A9">
        <w:rPr>
          <w:i/>
          <w:lang w:val="hr-HR"/>
        </w:rPr>
        <w:t xml:space="preserve"> </w:t>
      </w:r>
      <w:r w:rsidR="00E307A9">
        <w:rPr>
          <w:lang w:val="hr-HR"/>
        </w:rPr>
        <w:t xml:space="preserve"> ograničava trgovinu među zemljama članicama i uspostavlja apsolutnu teritorijalnu zaštitu korisnika licence, ona nije protivna članku 101(1) </w:t>
      </w:r>
      <w:proofErr w:type="spellStart"/>
      <w:r w:rsidR="00E307A9">
        <w:rPr>
          <w:lang w:val="hr-HR"/>
        </w:rPr>
        <w:t>UFEU</w:t>
      </w:r>
      <w:proofErr w:type="spellEnd"/>
      <w:r w:rsidR="00E307A9">
        <w:rPr>
          <w:lang w:val="hr-HR"/>
        </w:rPr>
        <w:t xml:space="preserve"> jer ide za legitimnim ciljem. </w:t>
      </w:r>
    </w:p>
    <w:p w:rsidR="00E307A9" w:rsidRPr="00896FE0" w:rsidRDefault="00E307A9" w:rsidP="00BE1045">
      <w:pPr>
        <w:spacing w:line="480" w:lineRule="auto"/>
        <w:ind w:firstLine="708"/>
        <w:rPr>
          <w:i/>
          <w:lang w:val="hr-HR"/>
        </w:rPr>
      </w:pPr>
      <w:r>
        <w:rPr>
          <w:lang w:val="hr-HR"/>
        </w:rPr>
        <w:t xml:space="preserve">U opisanom predmetu ne možemo govoriti o sužavanju kategorije ograničenja po cilju. Apsolutna teritorijalna zaštita i sporazumi koji imaju za svoj cilj ograničenje trgovine među zemljama članica su neosporno još uvijek tretirana kao osobito ozbiljna ograničenja tržišnog natjecanja. Dakle, u </w:t>
      </w:r>
      <w:proofErr w:type="spellStart"/>
      <w:r>
        <w:rPr>
          <w:i/>
          <w:lang w:val="hr-HR"/>
        </w:rPr>
        <w:t>Erauw</w:t>
      </w:r>
      <w:proofErr w:type="spellEnd"/>
      <w:r>
        <w:rPr>
          <w:i/>
          <w:lang w:val="hr-HR"/>
        </w:rPr>
        <w:t xml:space="preserve"> </w:t>
      </w:r>
      <w:proofErr w:type="spellStart"/>
      <w:r>
        <w:rPr>
          <w:i/>
          <w:lang w:val="hr-HR"/>
        </w:rPr>
        <w:t>Jacquery</w:t>
      </w:r>
      <w:proofErr w:type="spellEnd"/>
      <w:r>
        <w:rPr>
          <w:i/>
          <w:lang w:val="hr-HR"/>
        </w:rPr>
        <w:t xml:space="preserve"> </w:t>
      </w:r>
      <w:r>
        <w:rPr>
          <w:lang w:val="hr-HR"/>
        </w:rPr>
        <w:t xml:space="preserve">Sud je napravio iznimku. </w:t>
      </w:r>
      <w:proofErr w:type="spellStart"/>
      <w:r>
        <w:rPr>
          <w:lang w:val="hr-HR"/>
        </w:rPr>
        <w:t>Whish</w:t>
      </w:r>
      <w:proofErr w:type="spellEnd"/>
      <w:r>
        <w:rPr>
          <w:lang w:val="hr-HR"/>
        </w:rPr>
        <w:t xml:space="preserve"> i </w:t>
      </w:r>
      <w:proofErr w:type="spellStart"/>
      <w:r>
        <w:rPr>
          <w:lang w:val="hr-HR"/>
        </w:rPr>
        <w:t>Bailey</w:t>
      </w:r>
      <w:proofErr w:type="spellEnd"/>
      <w:r>
        <w:rPr>
          <w:lang w:val="hr-HR"/>
        </w:rPr>
        <w:t xml:space="preserve"> tumače kada specifične okolnosti slučaja mogu dovesti do ne primjene pravila tržišnog natjecanja. Doista možemo govoriti o određenim posebnostima u predmetu </w:t>
      </w:r>
      <w:proofErr w:type="spellStart"/>
      <w:r>
        <w:rPr>
          <w:i/>
          <w:lang w:val="hr-HR"/>
        </w:rPr>
        <w:t>Erauw</w:t>
      </w:r>
      <w:proofErr w:type="spellEnd"/>
      <w:r>
        <w:rPr>
          <w:i/>
          <w:lang w:val="hr-HR"/>
        </w:rPr>
        <w:t xml:space="preserve"> </w:t>
      </w:r>
      <w:proofErr w:type="spellStart"/>
      <w:r>
        <w:rPr>
          <w:i/>
          <w:lang w:val="hr-HR"/>
        </w:rPr>
        <w:t>Jacquery</w:t>
      </w:r>
      <w:proofErr w:type="spellEnd"/>
      <w:r>
        <w:rPr>
          <w:i/>
          <w:lang w:val="hr-HR"/>
        </w:rPr>
        <w:t xml:space="preserve">. </w:t>
      </w:r>
      <w:r>
        <w:rPr>
          <w:lang w:val="hr-HR"/>
        </w:rPr>
        <w:t xml:space="preserve">Predmet sporazuma je bilo pravo intelektualnog vlasništva koje samo po sebi daje određene </w:t>
      </w:r>
      <w:r>
        <w:rPr>
          <w:lang w:val="hr-HR"/>
        </w:rPr>
        <w:lastRenderedPageBreak/>
        <w:t>isključiva prava njenom nositelju. Okolnost da je primjena tržišnog natjecanja na pravo intelektualnog vlasništva donekle specifična govori i činjenica da je Komisija donijela posebnu Uredbu o skupnim izuzećima koja se primjenjuje samo na ugovore o licenciji</w:t>
      </w:r>
      <w:r w:rsidR="00BE1045">
        <w:rPr>
          <w:rStyle w:val="Referencafusnote"/>
          <w:lang w:val="hr-HR"/>
        </w:rPr>
        <w:footnoteReference w:id="58"/>
      </w:r>
      <w:r>
        <w:rPr>
          <w:lang w:val="hr-HR"/>
        </w:rPr>
        <w:t xml:space="preserve">. </w:t>
      </w:r>
      <w:r w:rsidR="00BE1045">
        <w:rPr>
          <w:lang w:val="hr-HR"/>
        </w:rPr>
        <w:t xml:space="preserve">Međutim, okolnost da činjenične posebnosti mogu utjecati na način primjene članka 101 </w:t>
      </w:r>
      <w:proofErr w:type="spellStart"/>
      <w:r w:rsidR="00BE1045">
        <w:rPr>
          <w:lang w:val="hr-HR"/>
        </w:rPr>
        <w:t>UFEU</w:t>
      </w:r>
      <w:proofErr w:type="spellEnd"/>
      <w:r w:rsidR="00BE1045">
        <w:rPr>
          <w:lang w:val="hr-HR"/>
        </w:rPr>
        <w:t>, nam ne govori kakvu je metodu nužno primijeniti, drugim riječima koji je razlog drugačijoj primjeni. Djelomičan odgovor na to pitanje možemo pronaći u stavku presude. Sud govori o značajnim ulaganjima nositelja prava intelektualnog vlasništva</w:t>
      </w:r>
    </w:p>
    <w:p w:rsidR="0079224B" w:rsidRDefault="00E17A15" w:rsidP="009737A3">
      <w:pPr>
        <w:spacing w:line="480" w:lineRule="auto"/>
        <w:rPr>
          <w:color w:val="000000"/>
          <w:szCs w:val="24"/>
          <w:lang w:val="hr-HR"/>
        </w:rPr>
      </w:pPr>
      <w:r w:rsidRPr="008C78FC">
        <w:rPr>
          <w:color w:val="000000"/>
          <w:szCs w:val="24"/>
          <w:lang w:val="hr-HR"/>
        </w:rPr>
        <w:t xml:space="preserve">U predmetu </w:t>
      </w:r>
      <w:proofErr w:type="spellStart"/>
      <w:r w:rsidRPr="008C78FC">
        <w:rPr>
          <w:i/>
          <w:color w:val="000000"/>
          <w:szCs w:val="24"/>
          <w:lang w:val="hr-HR"/>
        </w:rPr>
        <w:t>Remia</w:t>
      </w:r>
      <w:proofErr w:type="spellEnd"/>
      <w:r w:rsidR="00CF0C6F" w:rsidRPr="008C78FC">
        <w:rPr>
          <w:rStyle w:val="Referencafusnote"/>
          <w:i/>
          <w:color w:val="000000"/>
          <w:szCs w:val="24"/>
          <w:lang w:val="hr-HR"/>
        </w:rPr>
        <w:footnoteReference w:id="59"/>
      </w:r>
      <w:r w:rsidRPr="008C78FC">
        <w:rPr>
          <w:i/>
          <w:color w:val="000000"/>
          <w:szCs w:val="24"/>
          <w:lang w:val="hr-HR"/>
        </w:rPr>
        <w:t xml:space="preserve">, </w:t>
      </w:r>
      <w:r w:rsidRPr="008C78FC">
        <w:rPr>
          <w:color w:val="000000"/>
          <w:szCs w:val="24"/>
          <w:lang w:val="hr-HR"/>
        </w:rPr>
        <w:t>stranke su u sporazum o prijenosu poduzeće unijele i odredbu kojom se obvezuje međusobno ne k</w:t>
      </w:r>
      <w:r w:rsidR="0079224B">
        <w:rPr>
          <w:color w:val="000000"/>
          <w:szCs w:val="24"/>
          <w:lang w:val="hr-HR"/>
        </w:rPr>
        <w:t>onkurirati na razdoblje od 10 godina</w:t>
      </w:r>
      <w:r w:rsidRPr="008C78FC">
        <w:rPr>
          <w:color w:val="000000"/>
          <w:szCs w:val="24"/>
          <w:lang w:val="hr-HR"/>
        </w:rPr>
        <w:t>.</w:t>
      </w:r>
      <w:r w:rsidR="0052549E">
        <w:rPr>
          <w:color w:val="000000"/>
          <w:szCs w:val="24"/>
          <w:lang w:val="hr-HR"/>
        </w:rPr>
        <w:t xml:space="preserve"> </w:t>
      </w:r>
      <w:r w:rsidR="00CF0C6F" w:rsidRPr="008C78FC">
        <w:rPr>
          <w:color w:val="000000"/>
          <w:szCs w:val="24"/>
          <w:lang w:val="hr-HR"/>
        </w:rPr>
        <w:t>Ništa ne predstavlja veći problem za tržišno natjecanje, nego konkurenti koji su odustali od natjecanje među sobom. No, Sud je primijetivši da bez takve ugovorne klauzule, kupac ne bi ušao u takav sporazum, zaključio da se ne radi o ograničenju koje je inherentno protivno tržišnom natjecanju</w:t>
      </w:r>
      <w:r w:rsidR="00CF0C6F" w:rsidRPr="008C78FC">
        <w:rPr>
          <w:rStyle w:val="Referencafusnote"/>
          <w:color w:val="000000"/>
          <w:szCs w:val="24"/>
          <w:lang w:val="hr-HR"/>
        </w:rPr>
        <w:footnoteReference w:id="60"/>
      </w:r>
      <w:r w:rsidR="00CF0C6F" w:rsidRPr="008C78FC">
        <w:rPr>
          <w:color w:val="000000"/>
          <w:szCs w:val="24"/>
          <w:lang w:val="hr-HR"/>
        </w:rPr>
        <w:t>. U konačnici, ovakav sporazum nije ograničio tržišno natjecanje već upravo suprotno, omogućio ulazak novog poduzetnika, makar na određeno vrijeme tržišno natjecanje između prodavatelja i novog stjecatelja je ograničeno.</w:t>
      </w:r>
      <w:r w:rsidR="0079224B">
        <w:rPr>
          <w:color w:val="000000"/>
          <w:szCs w:val="24"/>
          <w:lang w:val="hr-HR"/>
        </w:rPr>
        <w:t xml:space="preserve"> </w:t>
      </w:r>
    </w:p>
    <w:p w:rsidR="0052549E" w:rsidRDefault="00CF0C6F" w:rsidP="008360D1">
      <w:pPr>
        <w:spacing w:line="480" w:lineRule="auto"/>
        <w:ind w:firstLine="708"/>
        <w:rPr>
          <w:color w:val="000000"/>
          <w:szCs w:val="24"/>
          <w:lang w:val="hr-HR"/>
        </w:rPr>
      </w:pPr>
      <w:r w:rsidRPr="008C78FC">
        <w:rPr>
          <w:color w:val="000000"/>
          <w:szCs w:val="24"/>
          <w:lang w:val="hr-HR"/>
        </w:rPr>
        <w:t xml:space="preserve"> </w:t>
      </w:r>
      <w:r w:rsidR="00D677F9" w:rsidRPr="008C78FC">
        <w:rPr>
          <w:color w:val="000000"/>
          <w:szCs w:val="24"/>
          <w:lang w:val="hr-HR"/>
        </w:rPr>
        <w:t xml:space="preserve">U pravu tržišnog natjecanja Unije </w:t>
      </w:r>
      <w:r w:rsidRPr="008C78FC">
        <w:rPr>
          <w:color w:val="000000"/>
          <w:szCs w:val="24"/>
          <w:lang w:val="hr-HR"/>
        </w:rPr>
        <w:t>takav pristup se objašnjava konceptom</w:t>
      </w:r>
      <w:r w:rsidR="00D677F9" w:rsidRPr="008C78FC">
        <w:rPr>
          <w:color w:val="000000"/>
          <w:szCs w:val="24"/>
          <w:lang w:val="hr-HR"/>
        </w:rPr>
        <w:t xml:space="preserve"> </w:t>
      </w:r>
      <w:r w:rsidR="0079224B">
        <w:rPr>
          <w:color w:val="000000"/>
          <w:szCs w:val="24"/>
          <w:lang w:val="hr-HR"/>
        </w:rPr>
        <w:t>“</w:t>
      </w:r>
      <w:r w:rsidR="00D677F9" w:rsidRPr="008C78FC">
        <w:rPr>
          <w:color w:val="000000"/>
          <w:szCs w:val="24"/>
          <w:lang w:val="hr-HR"/>
        </w:rPr>
        <w:t>popratnih ograničavajućih učinaka sporazuma</w:t>
      </w:r>
      <w:r w:rsidR="0079224B">
        <w:rPr>
          <w:color w:val="000000"/>
          <w:szCs w:val="24"/>
          <w:lang w:val="hr-HR"/>
        </w:rPr>
        <w:t>”</w:t>
      </w:r>
      <w:r w:rsidR="00B925AB">
        <w:rPr>
          <w:color w:val="000000"/>
          <w:szCs w:val="24"/>
          <w:lang w:val="hr-HR"/>
        </w:rPr>
        <w:t xml:space="preserve"> (engl. </w:t>
      </w:r>
      <w:proofErr w:type="spellStart"/>
      <w:r w:rsidR="00B925AB">
        <w:rPr>
          <w:i/>
          <w:color w:val="000000"/>
          <w:szCs w:val="24"/>
          <w:lang w:val="hr-HR"/>
        </w:rPr>
        <w:t>Ancillary</w:t>
      </w:r>
      <w:proofErr w:type="spellEnd"/>
      <w:r w:rsidR="00B925AB">
        <w:rPr>
          <w:i/>
          <w:color w:val="000000"/>
          <w:szCs w:val="24"/>
          <w:lang w:val="hr-HR"/>
        </w:rPr>
        <w:t xml:space="preserve"> </w:t>
      </w:r>
      <w:proofErr w:type="spellStart"/>
      <w:r w:rsidR="00B925AB">
        <w:rPr>
          <w:i/>
          <w:color w:val="000000"/>
          <w:szCs w:val="24"/>
          <w:lang w:val="hr-HR"/>
        </w:rPr>
        <w:t>restraints</w:t>
      </w:r>
      <w:proofErr w:type="spellEnd"/>
      <w:r w:rsidR="00B925AB">
        <w:rPr>
          <w:i/>
          <w:color w:val="000000"/>
          <w:szCs w:val="24"/>
          <w:lang w:val="hr-HR"/>
        </w:rPr>
        <w:t>)</w:t>
      </w:r>
      <w:r w:rsidRPr="008C78FC">
        <w:rPr>
          <w:color w:val="000000"/>
          <w:szCs w:val="24"/>
          <w:lang w:val="hr-HR"/>
        </w:rPr>
        <w:t xml:space="preserve">. Radi se naime “o </w:t>
      </w:r>
      <w:r w:rsidR="00D677F9" w:rsidRPr="008C78FC">
        <w:rPr>
          <w:color w:val="000000"/>
          <w:szCs w:val="24"/>
          <w:lang w:val="hr-HR"/>
        </w:rPr>
        <w:t>svako</w:t>
      </w:r>
      <w:r w:rsidRPr="008C78FC">
        <w:rPr>
          <w:color w:val="000000"/>
          <w:szCs w:val="24"/>
          <w:lang w:val="hr-HR"/>
        </w:rPr>
        <w:t>m</w:t>
      </w:r>
      <w:r w:rsidR="0052549E">
        <w:rPr>
          <w:color w:val="000000"/>
          <w:szCs w:val="24"/>
          <w:lang w:val="hr-HR"/>
        </w:rPr>
        <w:t xml:space="preserve"> </w:t>
      </w:r>
      <w:r w:rsidRPr="008C78FC">
        <w:rPr>
          <w:color w:val="000000"/>
          <w:szCs w:val="24"/>
          <w:lang w:val="hr-HR"/>
        </w:rPr>
        <w:t>mogućem ograničavanju</w:t>
      </w:r>
      <w:r w:rsidR="00D677F9" w:rsidRPr="008C78FC">
        <w:rPr>
          <w:color w:val="000000"/>
          <w:szCs w:val="24"/>
          <w:lang w:val="hr-HR"/>
        </w:rPr>
        <w:t xml:space="preserve"> tržišnog natjecanja, koje je neposredno vezano i neophodno za provedbu glavne neograničavajuće transakcije, te joj je proporcionalno</w:t>
      </w:r>
      <w:r w:rsidR="00D677F9" w:rsidRPr="008C78FC">
        <w:rPr>
          <w:rStyle w:val="Referencakrajnjebiljeke"/>
          <w:position w:val="10"/>
          <w:szCs w:val="24"/>
          <w:vertAlign w:val="superscript"/>
          <w:lang w:val="hr-HR"/>
        </w:rPr>
        <w:t>”</w:t>
      </w:r>
      <w:r w:rsidR="008C6A72" w:rsidRPr="008C78FC">
        <w:rPr>
          <w:rStyle w:val="Referencafusnote"/>
          <w:color w:val="000000"/>
          <w:position w:val="10"/>
          <w:szCs w:val="24"/>
          <w:lang w:val="hr-HR"/>
        </w:rPr>
        <w:footnoteReference w:id="61"/>
      </w:r>
      <w:r w:rsidR="00D677F9" w:rsidRPr="008C78FC">
        <w:rPr>
          <w:color w:val="000000"/>
          <w:szCs w:val="24"/>
          <w:lang w:val="hr-HR"/>
        </w:rPr>
        <w:t xml:space="preserve">. Ako sporazum u </w:t>
      </w:r>
      <w:r w:rsidR="00D677F9" w:rsidRPr="008C78FC">
        <w:rPr>
          <w:color w:val="000000"/>
          <w:szCs w:val="24"/>
          <w:lang w:val="hr-HR"/>
        </w:rPr>
        <w:lastRenderedPageBreak/>
        <w:t xml:space="preserve">svojim glavnim dijelovima, primjerice ugovor o distribuciji ili zajedničkom pothvatu, za svoj cilj ili učinak nema ograničavanje tržišnog natjecanja, tada ograničenja, koja su neposredno vezana i neophodna za provedbu te transakcije, također ne potpadaju pod članak 101(1). </w:t>
      </w:r>
      <w:proofErr w:type="spellStart"/>
      <w:r w:rsidR="00D677F9" w:rsidRPr="008C78FC">
        <w:rPr>
          <w:color w:val="000000"/>
          <w:szCs w:val="24"/>
          <w:lang w:val="hr-HR"/>
        </w:rPr>
        <w:t>UFEU</w:t>
      </w:r>
      <w:proofErr w:type="spellEnd"/>
      <w:r w:rsidR="00D677F9" w:rsidRPr="008C78FC">
        <w:rPr>
          <w:rStyle w:val="Referencafusnote"/>
          <w:color w:val="000000"/>
          <w:szCs w:val="24"/>
          <w:lang w:val="hr-HR"/>
        </w:rPr>
        <w:footnoteReference w:id="62"/>
      </w:r>
      <w:r w:rsidR="00D677F9" w:rsidRPr="008C78FC">
        <w:rPr>
          <w:color w:val="000000"/>
          <w:szCs w:val="24"/>
          <w:lang w:val="hr-HR"/>
        </w:rPr>
        <w:t>.</w:t>
      </w:r>
      <w:r w:rsidR="00EF0CB3">
        <w:rPr>
          <w:color w:val="000000"/>
          <w:szCs w:val="24"/>
          <w:lang w:val="hr-HR"/>
        </w:rPr>
        <w:t xml:space="preserve"> </w:t>
      </w:r>
    </w:p>
    <w:p w:rsidR="00192ACE" w:rsidRPr="008C78FC" w:rsidRDefault="00D677F9" w:rsidP="00CF0C6F">
      <w:pPr>
        <w:autoSpaceDE w:val="0"/>
        <w:autoSpaceDN w:val="0"/>
        <w:adjustRightInd w:val="0"/>
        <w:spacing w:line="480" w:lineRule="auto"/>
        <w:ind w:firstLine="708"/>
        <w:rPr>
          <w:color w:val="000000"/>
          <w:szCs w:val="24"/>
          <w:lang w:val="hr-HR"/>
        </w:rPr>
      </w:pPr>
      <w:r w:rsidRPr="008C78FC">
        <w:rPr>
          <w:color w:val="000000"/>
          <w:szCs w:val="24"/>
          <w:lang w:val="hr-HR"/>
        </w:rPr>
        <w:t xml:space="preserve">Ograničenje je neposredno vezano uz glavnu transakciju ako je ovisno o provedbi te transakcije i uz nju je neodvojivo vezano. </w:t>
      </w:r>
      <w:r w:rsidR="00192ACE" w:rsidRPr="008C78FC">
        <w:rPr>
          <w:color w:val="000000"/>
          <w:szCs w:val="24"/>
          <w:lang w:val="hr-HR"/>
        </w:rPr>
        <w:t xml:space="preserve">Procjena karaktera ograničenja se provodi po </w:t>
      </w:r>
      <w:r w:rsidR="00192ACE" w:rsidRPr="008C78FC">
        <w:rPr>
          <w:b/>
          <w:color w:val="000000"/>
          <w:szCs w:val="24"/>
          <w:lang w:val="hr-HR"/>
        </w:rPr>
        <w:t>objektivnim kriterijima</w:t>
      </w:r>
      <w:r w:rsidR="00192ACE" w:rsidRPr="008C78FC">
        <w:rPr>
          <w:color w:val="000000"/>
          <w:szCs w:val="24"/>
          <w:lang w:val="hr-HR"/>
        </w:rPr>
        <w:t>. Pitanje nije bi li stranke u svojoj specifičnoj situaciji bile odbile zaključiti manje ograničavajući sporazum, nego ne bi li, s obzirom na prirodu sporazuma i obilježja tržišta, poduzetnici u sličn</w:t>
      </w:r>
      <w:r w:rsidR="00B925AB">
        <w:rPr>
          <w:color w:val="000000"/>
          <w:szCs w:val="24"/>
          <w:lang w:val="hr-HR"/>
        </w:rPr>
        <w:t xml:space="preserve">im okolnostima </w:t>
      </w:r>
      <w:r w:rsidR="00192ACE" w:rsidRPr="008C78FC">
        <w:rPr>
          <w:color w:val="000000"/>
          <w:szCs w:val="24"/>
          <w:lang w:val="hr-HR"/>
        </w:rPr>
        <w:t>zaključili manje ograničavajući sporazum</w:t>
      </w:r>
      <w:r w:rsidR="00192ACE" w:rsidRPr="008C78FC">
        <w:rPr>
          <w:rStyle w:val="Referencafusnote"/>
          <w:color w:val="000000"/>
          <w:szCs w:val="24"/>
          <w:lang w:val="hr-HR"/>
        </w:rPr>
        <w:footnoteReference w:id="63"/>
      </w:r>
      <w:r w:rsidR="00192ACE" w:rsidRPr="008C78FC">
        <w:rPr>
          <w:color w:val="000000"/>
          <w:szCs w:val="24"/>
          <w:lang w:val="hr-HR"/>
        </w:rPr>
        <w:t xml:space="preserve">. Dakle, </w:t>
      </w:r>
      <w:r w:rsidR="00B925AB">
        <w:rPr>
          <w:color w:val="000000"/>
          <w:szCs w:val="24"/>
          <w:lang w:val="hr-HR"/>
        </w:rPr>
        <w:t xml:space="preserve">na temelju čimbenika </w:t>
      </w:r>
      <w:r w:rsidR="00192ACE" w:rsidRPr="008C78FC">
        <w:rPr>
          <w:color w:val="000000"/>
          <w:szCs w:val="24"/>
          <w:lang w:val="hr-HR"/>
        </w:rPr>
        <w:t xml:space="preserve">vanjskih u odnosu na same stranke, a ne subjektivnih mišljenja i obilježja stranaka. </w:t>
      </w:r>
    </w:p>
    <w:p w:rsidR="00192ACE" w:rsidRPr="008C78FC" w:rsidRDefault="00192ACE" w:rsidP="00CF0C6F">
      <w:pPr>
        <w:autoSpaceDE w:val="0"/>
        <w:autoSpaceDN w:val="0"/>
        <w:adjustRightInd w:val="0"/>
        <w:spacing w:line="480" w:lineRule="auto"/>
        <w:ind w:firstLine="708"/>
        <w:rPr>
          <w:color w:val="000000"/>
          <w:szCs w:val="24"/>
          <w:lang w:val="hr-HR"/>
        </w:rPr>
      </w:pPr>
      <w:r w:rsidRPr="008C78FC">
        <w:rPr>
          <w:color w:val="000000"/>
          <w:szCs w:val="24"/>
          <w:lang w:val="hr-HR"/>
        </w:rPr>
        <w:t>Kada govorimo o popratnim ograničenj</w:t>
      </w:r>
      <w:r w:rsidR="0052549E">
        <w:rPr>
          <w:color w:val="000000"/>
          <w:szCs w:val="24"/>
          <w:lang w:val="hr-HR"/>
        </w:rPr>
        <w:t xml:space="preserve">ima, osnovno je pitanje da li </w:t>
      </w:r>
      <w:r w:rsidR="0083165C" w:rsidRPr="008C78FC">
        <w:rPr>
          <w:color w:val="000000"/>
          <w:szCs w:val="24"/>
          <w:lang w:val="hr-HR"/>
        </w:rPr>
        <w:t>ograničenje treba biti nužno za samo postojanje glavnog pothvata ili je dovoljno da pridonosi njegovom efikasnom funkcioniranju.</w:t>
      </w:r>
      <w:r w:rsidRPr="008C78FC">
        <w:rPr>
          <w:color w:val="000000"/>
          <w:szCs w:val="24"/>
          <w:lang w:val="hr-HR"/>
        </w:rPr>
        <w:t xml:space="preserve"> U dosadašnjoj praksi Sud je kao popratna smatrao ona ograničenja koja su </w:t>
      </w:r>
      <w:r w:rsidR="0083165C" w:rsidRPr="008C78FC">
        <w:rPr>
          <w:color w:val="000000"/>
          <w:szCs w:val="24"/>
          <w:lang w:val="hr-HR"/>
        </w:rPr>
        <w:t>bila</w:t>
      </w:r>
      <w:r w:rsidRPr="008C78FC">
        <w:rPr>
          <w:color w:val="000000"/>
          <w:szCs w:val="24"/>
          <w:lang w:val="hr-HR"/>
        </w:rPr>
        <w:t xml:space="preserve"> ‘</w:t>
      </w:r>
      <w:r w:rsidR="0083165C" w:rsidRPr="008C78FC">
        <w:rPr>
          <w:color w:val="000000"/>
          <w:szCs w:val="24"/>
          <w:lang w:val="hr-HR"/>
        </w:rPr>
        <w:t>nužna</w:t>
      </w:r>
      <w:r w:rsidRPr="008C78FC">
        <w:rPr>
          <w:color w:val="000000"/>
          <w:szCs w:val="24"/>
          <w:lang w:val="hr-HR"/>
        </w:rPr>
        <w:t xml:space="preserve"> za prijenos poduzeća’</w:t>
      </w:r>
      <w:r w:rsidRPr="008C78FC">
        <w:rPr>
          <w:rStyle w:val="Referencafusnote"/>
          <w:color w:val="000000"/>
          <w:szCs w:val="24"/>
          <w:lang w:val="hr-HR"/>
        </w:rPr>
        <w:footnoteReference w:id="64"/>
      </w:r>
      <w:r w:rsidRPr="008C78FC">
        <w:rPr>
          <w:color w:val="000000"/>
          <w:szCs w:val="24"/>
          <w:lang w:val="hr-HR"/>
        </w:rPr>
        <w:t xml:space="preserve"> ili ‘striktno nužno za funkcioniranje franšize’</w:t>
      </w:r>
      <w:r w:rsidRPr="008C78FC">
        <w:rPr>
          <w:rStyle w:val="Referencafusnote"/>
          <w:color w:val="000000"/>
          <w:szCs w:val="24"/>
          <w:lang w:val="hr-HR"/>
        </w:rPr>
        <w:footnoteReference w:id="65"/>
      </w:r>
      <w:r w:rsidRPr="008C78FC">
        <w:rPr>
          <w:color w:val="000000"/>
          <w:szCs w:val="24"/>
          <w:lang w:val="hr-HR"/>
        </w:rPr>
        <w:t>. Rječnik Suda upućuje na to da ograničenja</w:t>
      </w:r>
      <w:r w:rsidR="0052549E">
        <w:rPr>
          <w:color w:val="000000"/>
          <w:szCs w:val="24"/>
          <w:lang w:val="hr-HR"/>
        </w:rPr>
        <w:t>,</w:t>
      </w:r>
      <w:r w:rsidRPr="008C78FC">
        <w:rPr>
          <w:color w:val="000000"/>
          <w:szCs w:val="24"/>
          <w:lang w:val="hr-HR"/>
        </w:rPr>
        <w:t xml:space="preserve"> da bi se smatrala popratnim, trebaju biti </w:t>
      </w:r>
      <w:proofErr w:type="spellStart"/>
      <w:r w:rsidR="0052549E">
        <w:rPr>
          <w:i/>
          <w:color w:val="000000"/>
          <w:szCs w:val="24"/>
          <w:lang w:val="hr-HR"/>
        </w:rPr>
        <w:t>condi</w:t>
      </w:r>
      <w:r w:rsidRPr="008C78FC">
        <w:rPr>
          <w:i/>
          <w:color w:val="000000"/>
          <w:szCs w:val="24"/>
          <w:lang w:val="hr-HR"/>
        </w:rPr>
        <w:t>tio</w:t>
      </w:r>
      <w:proofErr w:type="spellEnd"/>
      <w:r w:rsidR="0052549E">
        <w:rPr>
          <w:i/>
          <w:color w:val="000000"/>
          <w:szCs w:val="24"/>
          <w:lang w:val="hr-HR"/>
        </w:rPr>
        <w:t xml:space="preserve"> sine </w:t>
      </w:r>
      <w:proofErr w:type="spellStart"/>
      <w:r w:rsidRPr="008C78FC">
        <w:rPr>
          <w:i/>
          <w:color w:val="000000"/>
          <w:szCs w:val="24"/>
          <w:lang w:val="hr-HR"/>
        </w:rPr>
        <w:t>quanon</w:t>
      </w:r>
      <w:proofErr w:type="spellEnd"/>
      <w:r w:rsidR="0052549E">
        <w:rPr>
          <w:i/>
          <w:color w:val="000000"/>
          <w:szCs w:val="24"/>
          <w:lang w:val="hr-HR"/>
        </w:rPr>
        <w:t xml:space="preserve"> </w:t>
      </w:r>
      <w:r w:rsidRPr="008C78FC">
        <w:rPr>
          <w:color w:val="000000"/>
          <w:szCs w:val="24"/>
          <w:lang w:val="hr-HR"/>
        </w:rPr>
        <w:t>glavnog sporazuma. U konačnici je za pretpostaviti da će Sud odbac</w:t>
      </w:r>
      <w:r w:rsidR="0052549E">
        <w:rPr>
          <w:color w:val="000000"/>
          <w:szCs w:val="24"/>
          <w:lang w:val="hr-HR"/>
        </w:rPr>
        <w:t>iti šire tumačenje i u skladu s</w:t>
      </w:r>
      <w:r w:rsidRPr="008C78FC">
        <w:rPr>
          <w:color w:val="000000"/>
          <w:szCs w:val="24"/>
          <w:lang w:val="hr-HR"/>
        </w:rPr>
        <w:t xml:space="preserve"> dosadašnjom praksom pitanje da li ograničenje pridonosi efikasnosti, komercijalno uspjehu glavnog pothvata uzeti u</w:t>
      </w:r>
      <w:r w:rsidR="0052549E">
        <w:rPr>
          <w:color w:val="000000"/>
          <w:szCs w:val="24"/>
          <w:lang w:val="hr-HR"/>
        </w:rPr>
        <w:t xml:space="preserve"> obzir u kontekstu čanka 101(3)</w:t>
      </w:r>
      <w:r w:rsidRPr="008C78FC">
        <w:rPr>
          <w:rStyle w:val="Referencafusnote"/>
          <w:color w:val="000000"/>
          <w:szCs w:val="24"/>
          <w:lang w:val="hr-HR"/>
        </w:rPr>
        <w:footnoteReference w:id="66"/>
      </w:r>
      <w:r w:rsidR="0052549E">
        <w:rPr>
          <w:color w:val="000000"/>
          <w:szCs w:val="24"/>
          <w:lang w:val="hr-HR"/>
        </w:rPr>
        <w:t xml:space="preserve">. </w:t>
      </w:r>
      <w:r w:rsidRPr="008C78FC">
        <w:rPr>
          <w:color w:val="000000"/>
          <w:szCs w:val="24"/>
          <w:lang w:val="hr-HR"/>
        </w:rPr>
        <w:t xml:space="preserve">Popratno </w:t>
      </w:r>
      <w:r w:rsidRPr="008C78FC">
        <w:rPr>
          <w:color w:val="000000"/>
          <w:szCs w:val="24"/>
          <w:lang w:val="hr-HR"/>
        </w:rPr>
        <w:lastRenderedPageBreak/>
        <w:t xml:space="preserve">ograničenje mora biti </w:t>
      </w:r>
      <w:r w:rsidRPr="008C78FC">
        <w:rPr>
          <w:b/>
          <w:i/>
          <w:color w:val="000000"/>
          <w:szCs w:val="24"/>
          <w:lang w:val="hr-HR"/>
        </w:rPr>
        <w:t xml:space="preserve">proporcionalno </w:t>
      </w:r>
      <w:proofErr w:type="spellStart"/>
      <w:r w:rsidRPr="008C78FC">
        <w:rPr>
          <w:b/>
          <w:i/>
          <w:color w:val="000000"/>
          <w:szCs w:val="24"/>
          <w:lang w:val="hr-HR"/>
        </w:rPr>
        <w:t>stricto</w:t>
      </w:r>
      <w:proofErr w:type="spellEnd"/>
      <w:r w:rsidR="0052549E">
        <w:rPr>
          <w:b/>
          <w:i/>
          <w:color w:val="000000"/>
          <w:szCs w:val="24"/>
          <w:lang w:val="hr-HR"/>
        </w:rPr>
        <w:t xml:space="preserve"> </w:t>
      </w:r>
      <w:proofErr w:type="spellStart"/>
      <w:r w:rsidRPr="008C78FC">
        <w:rPr>
          <w:b/>
          <w:i/>
          <w:color w:val="000000"/>
          <w:szCs w:val="24"/>
          <w:lang w:val="hr-HR"/>
        </w:rPr>
        <w:t>sensu</w:t>
      </w:r>
      <w:proofErr w:type="spellEnd"/>
      <w:r w:rsidRPr="008C78FC">
        <w:rPr>
          <w:color w:val="000000"/>
          <w:szCs w:val="24"/>
          <w:lang w:val="hr-HR"/>
        </w:rPr>
        <w:t xml:space="preserve">, tj. ne smije ograničavati tržišno natjecanje više nego što je to nužno za ostvarenje legitimnog cilja. U praksi to će značiti ponajprije da treba biti ograničeno u svom prostornom i vremenskom dosegu, kao što je sud naglasio u predmetu </w:t>
      </w:r>
      <w:proofErr w:type="spellStart"/>
      <w:r w:rsidRPr="008C78FC">
        <w:rPr>
          <w:i/>
          <w:color w:val="000000"/>
          <w:szCs w:val="24"/>
          <w:lang w:val="hr-HR"/>
        </w:rPr>
        <w:t>Remia</w:t>
      </w:r>
      <w:proofErr w:type="spellEnd"/>
      <w:r w:rsidRPr="008C78FC">
        <w:rPr>
          <w:rStyle w:val="Referencafusnote"/>
          <w:i/>
          <w:color w:val="000000"/>
          <w:szCs w:val="24"/>
          <w:lang w:val="hr-HR"/>
        </w:rPr>
        <w:footnoteReference w:id="67"/>
      </w:r>
      <w:r w:rsidRPr="008C78FC">
        <w:rPr>
          <w:i/>
          <w:color w:val="000000"/>
          <w:szCs w:val="24"/>
          <w:lang w:val="hr-HR"/>
        </w:rPr>
        <w:t xml:space="preserve">. </w:t>
      </w:r>
      <w:r w:rsidRPr="008C78FC">
        <w:rPr>
          <w:color w:val="000000"/>
          <w:szCs w:val="24"/>
          <w:lang w:val="hr-HR"/>
        </w:rPr>
        <w:t>Uzmimo primjerice sporazum o prodaji kozmetičkog salona. Prodavatelj se obveže da ne će konk</w:t>
      </w:r>
      <w:r w:rsidR="0052549E">
        <w:rPr>
          <w:color w:val="000000"/>
          <w:szCs w:val="24"/>
          <w:lang w:val="hr-HR"/>
        </w:rPr>
        <w:t>urirati novom vlasniku. Ukoliko</w:t>
      </w:r>
      <w:r w:rsidRPr="008C78FC">
        <w:rPr>
          <w:color w:val="000000"/>
          <w:szCs w:val="24"/>
          <w:lang w:val="hr-HR"/>
        </w:rPr>
        <w:t xml:space="preserve"> prodavatelj n</w:t>
      </w:r>
      <w:r w:rsidR="0052549E">
        <w:rPr>
          <w:color w:val="000000"/>
          <w:szCs w:val="24"/>
          <w:lang w:val="hr-HR"/>
        </w:rPr>
        <w:t>e bi preuzeo takvu obvezu, teško je zamisliti da</w:t>
      </w:r>
      <w:r w:rsidRPr="008C78FC">
        <w:rPr>
          <w:color w:val="000000"/>
          <w:szCs w:val="24"/>
          <w:lang w:val="hr-HR"/>
        </w:rPr>
        <w:t xml:space="preserve"> bi kupac želio riskirati </w:t>
      </w:r>
      <w:r w:rsidR="0052549E">
        <w:rPr>
          <w:color w:val="000000"/>
          <w:szCs w:val="24"/>
          <w:lang w:val="hr-HR"/>
        </w:rPr>
        <w:t xml:space="preserve">ulazak na tržište znajući da prodavatelj već ima </w:t>
      </w:r>
      <w:r w:rsidRPr="008C78FC">
        <w:rPr>
          <w:color w:val="000000"/>
          <w:szCs w:val="24"/>
          <w:lang w:val="hr-HR"/>
        </w:rPr>
        <w:t xml:space="preserve">uspostavljene odnose sa klijentelom. No, ukoliko se radi o prodaju salona </w:t>
      </w:r>
      <w:r w:rsidR="0052549E">
        <w:rPr>
          <w:color w:val="000000"/>
          <w:szCs w:val="24"/>
          <w:lang w:val="hr-HR"/>
        </w:rPr>
        <w:t xml:space="preserve">primjerice </w:t>
      </w:r>
      <w:r w:rsidRPr="008C78FC">
        <w:rPr>
          <w:color w:val="000000"/>
          <w:szCs w:val="24"/>
          <w:lang w:val="hr-HR"/>
        </w:rPr>
        <w:t>na području Pariza, da li bi dogovor o ne</w:t>
      </w:r>
      <w:r w:rsidR="0052549E">
        <w:rPr>
          <w:color w:val="000000"/>
          <w:szCs w:val="24"/>
          <w:lang w:val="hr-HR"/>
        </w:rPr>
        <w:t>-</w:t>
      </w:r>
      <w:r w:rsidRPr="008C78FC">
        <w:rPr>
          <w:color w:val="000000"/>
          <w:szCs w:val="24"/>
          <w:lang w:val="hr-HR"/>
        </w:rPr>
        <w:t>natjecanju bio nužan za prijenos jednog salona, ukoliko li se zabrana natjecan</w:t>
      </w:r>
      <w:r w:rsidR="004F015B" w:rsidRPr="008C78FC">
        <w:rPr>
          <w:color w:val="000000"/>
          <w:szCs w:val="24"/>
          <w:lang w:val="hr-HR"/>
        </w:rPr>
        <w:t>ja odnosi na područje cijele dr</w:t>
      </w:r>
      <w:r w:rsidR="0052549E">
        <w:rPr>
          <w:color w:val="000000"/>
          <w:szCs w:val="24"/>
          <w:lang w:val="hr-HR"/>
        </w:rPr>
        <w:t xml:space="preserve">žave? </w:t>
      </w:r>
    </w:p>
    <w:p w:rsidR="00CF0C6F" w:rsidRPr="008C78FC" w:rsidRDefault="00E17A15" w:rsidP="004F015B">
      <w:pPr>
        <w:spacing w:line="480" w:lineRule="auto"/>
        <w:ind w:firstLine="708"/>
        <w:rPr>
          <w:szCs w:val="24"/>
          <w:lang w:val="hr-HR"/>
        </w:rPr>
      </w:pPr>
      <w:r w:rsidRPr="008C78FC">
        <w:rPr>
          <w:color w:val="000000"/>
          <w:szCs w:val="24"/>
          <w:lang w:val="hr-HR"/>
        </w:rPr>
        <w:t xml:space="preserve">Opisana doktrina može razjasniti isključiv pristup Suda u predmetu </w:t>
      </w:r>
      <w:proofErr w:type="spellStart"/>
      <w:r w:rsidRPr="008C78FC">
        <w:rPr>
          <w:i/>
          <w:color w:val="000000"/>
          <w:szCs w:val="24"/>
          <w:lang w:val="hr-HR"/>
        </w:rPr>
        <w:t>BIDS</w:t>
      </w:r>
      <w:proofErr w:type="spellEnd"/>
      <w:r w:rsidR="00CF0C6F" w:rsidRPr="008C78FC">
        <w:rPr>
          <w:rStyle w:val="Referencafusnote"/>
          <w:i/>
          <w:color w:val="000000"/>
          <w:szCs w:val="24"/>
          <w:lang w:val="hr-HR"/>
        </w:rPr>
        <w:footnoteReference w:id="68"/>
      </w:r>
      <w:r w:rsidRPr="008C78FC">
        <w:rPr>
          <w:i/>
          <w:color w:val="000000"/>
          <w:szCs w:val="24"/>
          <w:lang w:val="hr-HR"/>
        </w:rPr>
        <w:t xml:space="preserve">, </w:t>
      </w:r>
      <w:r w:rsidRPr="008C78FC">
        <w:rPr>
          <w:color w:val="000000"/>
          <w:szCs w:val="24"/>
          <w:lang w:val="hr-HR"/>
        </w:rPr>
        <w:t xml:space="preserve">iako je </w:t>
      </w:r>
      <w:proofErr w:type="spellStart"/>
      <w:r w:rsidRPr="008C78FC">
        <w:rPr>
          <w:i/>
          <w:color w:val="000000"/>
          <w:szCs w:val="24"/>
          <w:lang w:val="hr-HR"/>
        </w:rPr>
        <w:t>BIDS</w:t>
      </w:r>
      <w:proofErr w:type="spellEnd"/>
      <w:r w:rsidR="00BE1045">
        <w:rPr>
          <w:i/>
          <w:color w:val="000000"/>
          <w:szCs w:val="24"/>
          <w:lang w:val="hr-HR"/>
        </w:rPr>
        <w:t xml:space="preserve"> </w:t>
      </w:r>
      <w:r w:rsidRPr="008C78FC">
        <w:rPr>
          <w:color w:val="000000"/>
          <w:szCs w:val="24"/>
          <w:lang w:val="hr-HR"/>
        </w:rPr>
        <w:t xml:space="preserve">shema imala sasvim legitimnu svrhu – restrukturiranje tržišta u krizi. </w:t>
      </w:r>
      <w:proofErr w:type="spellStart"/>
      <w:r w:rsidRPr="008C78FC">
        <w:rPr>
          <w:color w:val="000000"/>
          <w:szCs w:val="24"/>
          <w:lang w:val="hr-HR"/>
        </w:rPr>
        <w:t>BIDS</w:t>
      </w:r>
      <w:proofErr w:type="spellEnd"/>
      <w:r w:rsidRPr="008C78FC">
        <w:rPr>
          <w:color w:val="000000"/>
          <w:szCs w:val="24"/>
          <w:lang w:val="hr-HR"/>
        </w:rPr>
        <w:t xml:space="preserve"> shema jednostavno nije bila objektivno nužna </w:t>
      </w:r>
      <w:r w:rsidR="00CF0C6F" w:rsidRPr="008C78FC">
        <w:rPr>
          <w:color w:val="000000"/>
          <w:szCs w:val="24"/>
          <w:lang w:val="hr-HR"/>
        </w:rPr>
        <w:t xml:space="preserve">niti primjeren model </w:t>
      </w:r>
      <w:r w:rsidRPr="008C78FC">
        <w:rPr>
          <w:color w:val="000000"/>
          <w:szCs w:val="24"/>
          <w:lang w:val="hr-HR"/>
        </w:rPr>
        <w:t xml:space="preserve">za restrukturiranje industrije, </w:t>
      </w:r>
      <w:r w:rsidR="00CF0C6F" w:rsidRPr="008C78FC">
        <w:rPr>
          <w:color w:val="000000"/>
          <w:szCs w:val="24"/>
          <w:lang w:val="hr-HR"/>
        </w:rPr>
        <w:t>jer u izostanku koordinacije među proizvođačima</w:t>
      </w:r>
      <w:r w:rsidR="0052549E">
        <w:rPr>
          <w:color w:val="000000"/>
          <w:szCs w:val="24"/>
          <w:lang w:val="hr-HR"/>
        </w:rPr>
        <w:t xml:space="preserve"> </w:t>
      </w:r>
      <w:r w:rsidR="00CF0C6F" w:rsidRPr="008C78FC">
        <w:rPr>
          <w:szCs w:val="24"/>
          <w:lang w:val="hr-HR"/>
        </w:rPr>
        <w:t>jedini način za povećanjem</w:t>
      </w:r>
      <w:r w:rsidR="0052549E">
        <w:rPr>
          <w:szCs w:val="24"/>
          <w:lang w:val="hr-HR"/>
        </w:rPr>
        <w:t xml:space="preserve"> </w:t>
      </w:r>
      <w:r w:rsidR="00CF0C6F" w:rsidRPr="008C78FC">
        <w:rPr>
          <w:szCs w:val="24"/>
          <w:lang w:val="hr-HR"/>
        </w:rPr>
        <w:t>profitabilnosti bi bio intenziviranjem tržišnog natjecanja među proizvođačima ili povezivanjem u koncentracije</w:t>
      </w:r>
      <w:r w:rsidR="00CF0C6F" w:rsidRPr="008C78FC">
        <w:rPr>
          <w:rStyle w:val="Referencafusnote"/>
          <w:szCs w:val="24"/>
          <w:lang w:val="hr-HR"/>
        </w:rPr>
        <w:footnoteReference w:id="69"/>
      </w:r>
      <w:r w:rsidR="00CF0C6F" w:rsidRPr="008C78FC">
        <w:rPr>
          <w:i/>
          <w:szCs w:val="24"/>
          <w:lang w:val="hr-HR"/>
        </w:rPr>
        <w:t xml:space="preserve">. </w:t>
      </w:r>
      <w:r w:rsidR="00CF0C6F" w:rsidRPr="008C78FC">
        <w:rPr>
          <w:szCs w:val="24"/>
          <w:lang w:val="hr-HR"/>
        </w:rPr>
        <w:t xml:space="preserve"> Shema im je pak omogućila da zamijene rizike tržišnog natjecanja, međusobnom suradnjom i time izbjegnu velike troškove.</w:t>
      </w:r>
    </w:p>
    <w:p w:rsidR="00E17A15" w:rsidRPr="008C78FC" w:rsidRDefault="00E17A15" w:rsidP="00D677F9">
      <w:pPr>
        <w:spacing w:line="480" w:lineRule="auto"/>
        <w:rPr>
          <w:szCs w:val="24"/>
          <w:lang w:val="hr-HR"/>
        </w:rPr>
      </w:pPr>
    </w:p>
    <w:p w:rsidR="009737A3" w:rsidRDefault="009737A3">
      <w:pPr>
        <w:spacing w:before="0" w:after="0" w:line="240" w:lineRule="auto"/>
        <w:jc w:val="left"/>
        <w:rPr>
          <w:rFonts w:asciiTheme="majorHAnsi" w:eastAsiaTheme="majorEastAsia" w:hAnsiTheme="majorHAnsi" w:cstheme="majorBidi"/>
          <w:b/>
          <w:bCs/>
          <w:color w:val="4F81BD" w:themeColor="accent1"/>
          <w:lang w:val="hr-HR"/>
        </w:rPr>
      </w:pPr>
      <w:bookmarkStart w:id="12" w:name="_Toc381547537"/>
      <w:r>
        <w:rPr>
          <w:lang w:val="hr-HR"/>
        </w:rPr>
        <w:br w:type="page"/>
      </w:r>
    </w:p>
    <w:p w:rsidR="00121C50" w:rsidRPr="008C78FC" w:rsidRDefault="0083165C" w:rsidP="008360D1">
      <w:pPr>
        <w:pStyle w:val="Naslov3"/>
        <w:rPr>
          <w:lang w:val="hr-HR"/>
        </w:rPr>
      </w:pPr>
      <w:r w:rsidRPr="008C78FC">
        <w:rPr>
          <w:lang w:val="hr-HR"/>
        </w:rPr>
        <w:lastRenderedPageBreak/>
        <w:t xml:space="preserve">Cilj od javnog interesa i </w:t>
      </w:r>
      <w:r w:rsidRPr="008C78FC">
        <w:rPr>
          <w:rFonts w:ascii="Times New Roman" w:hAnsi="Times New Roman" w:cs="Times New Roman"/>
          <w:lang w:val="hr-HR"/>
        </w:rPr>
        <w:t>‘</w:t>
      </w:r>
      <w:proofErr w:type="spellStart"/>
      <w:r w:rsidR="00A556A6" w:rsidRPr="008C78FC">
        <w:rPr>
          <w:rFonts w:ascii="Times New Roman" w:hAnsi="Times New Roman" w:cs="Times New Roman"/>
          <w:i/>
          <w:lang w:val="hr-HR"/>
        </w:rPr>
        <w:t>Wouters</w:t>
      </w:r>
      <w:proofErr w:type="spellEnd"/>
      <w:r w:rsidR="00A556A6" w:rsidRPr="008C78FC">
        <w:rPr>
          <w:rFonts w:ascii="Times New Roman" w:hAnsi="Times New Roman" w:cs="Times New Roman"/>
          <w:i/>
          <w:lang w:val="hr-HR"/>
        </w:rPr>
        <w:t xml:space="preserve"> pravilo</w:t>
      </w:r>
      <w:r w:rsidRPr="008C78FC">
        <w:rPr>
          <w:rFonts w:ascii="Times New Roman" w:hAnsi="Times New Roman" w:cs="Times New Roman"/>
          <w:i/>
          <w:lang w:val="hr-HR"/>
        </w:rPr>
        <w:t>’</w:t>
      </w:r>
      <w:bookmarkEnd w:id="12"/>
    </w:p>
    <w:p w:rsidR="00121C50" w:rsidRPr="008C78FC" w:rsidRDefault="00121C50" w:rsidP="00121C50">
      <w:pPr>
        <w:rPr>
          <w:lang w:val="hr-HR"/>
        </w:rPr>
      </w:pPr>
    </w:p>
    <w:p w:rsidR="004F015B" w:rsidRPr="008C78FC" w:rsidRDefault="003E64E4" w:rsidP="001C085A">
      <w:pPr>
        <w:spacing w:line="480" w:lineRule="auto"/>
        <w:ind w:firstLine="708"/>
        <w:rPr>
          <w:szCs w:val="24"/>
          <w:lang w:val="hr-HR"/>
        </w:rPr>
      </w:pPr>
      <w:r w:rsidRPr="008C78FC">
        <w:rPr>
          <w:szCs w:val="24"/>
          <w:lang w:val="hr-HR"/>
        </w:rPr>
        <w:t xml:space="preserve">Kao što možemo vidjeti iz analizirane sudske prakse, određena </w:t>
      </w:r>
      <w:r w:rsidRPr="008C78FC">
        <w:rPr>
          <w:i/>
          <w:szCs w:val="24"/>
          <w:lang w:val="hr-HR"/>
        </w:rPr>
        <w:t xml:space="preserve">prima </w:t>
      </w:r>
      <w:proofErr w:type="spellStart"/>
      <w:r w:rsidRPr="008C78FC">
        <w:rPr>
          <w:i/>
          <w:szCs w:val="24"/>
          <w:lang w:val="hr-HR"/>
        </w:rPr>
        <w:t>facie</w:t>
      </w:r>
      <w:proofErr w:type="spellEnd"/>
      <w:r w:rsidRPr="008C78FC">
        <w:rPr>
          <w:i/>
          <w:szCs w:val="24"/>
          <w:lang w:val="hr-HR"/>
        </w:rPr>
        <w:t xml:space="preserve"> </w:t>
      </w:r>
      <w:r w:rsidRPr="008C78FC">
        <w:rPr>
          <w:szCs w:val="24"/>
          <w:lang w:val="hr-HR"/>
        </w:rPr>
        <w:t xml:space="preserve">ograničenja su izbjegla zabranu iz članka 101. </w:t>
      </w:r>
      <w:proofErr w:type="spellStart"/>
      <w:r w:rsidRPr="008C78FC">
        <w:rPr>
          <w:szCs w:val="24"/>
          <w:lang w:val="hr-HR"/>
        </w:rPr>
        <w:t>UFEU</w:t>
      </w:r>
      <w:proofErr w:type="spellEnd"/>
      <w:r w:rsidRPr="008C78FC">
        <w:rPr>
          <w:szCs w:val="24"/>
          <w:lang w:val="hr-HR"/>
        </w:rPr>
        <w:t>.</w:t>
      </w:r>
      <w:r w:rsidR="004F015B" w:rsidRPr="008C78FC">
        <w:rPr>
          <w:szCs w:val="24"/>
          <w:lang w:val="hr-HR"/>
        </w:rPr>
        <w:t xml:space="preserve"> Sudovi Unije su takav pristup obrazložili okolnošću da su sporazumi nužni za ostvarenje neke legitimne komercijalne svrhe. Iako je takvo tumačenje naišlo na određene kritike u akademskoj literaturi, nije inherentno suprotno funkciji prava tržišnog natjecanja. Naime, svrha članka 101 </w:t>
      </w:r>
      <w:proofErr w:type="spellStart"/>
      <w:r w:rsidR="004F015B" w:rsidRPr="008C78FC">
        <w:rPr>
          <w:szCs w:val="24"/>
          <w:lang w:val="hr-HR"/>
        </w:rPr>
        <w:t>UFEU</w:t>
      </w:r>
      <w:proofErr w:type="spellEnd"/>
      <w:r w:rsidR="004F015B" w:rsidRPr="008C78FC">
        <w:rPr>
          <w:szCs w:val="24"/>
          <w:lang w:val="hr-HR"/>
        </w:rPr>
        <w:t xml:space="preserve"> je reguliranje tržišnog natjecanja radi zaštite potrošača i poticanja efikasne proizvodnje. Ukoliko su sporazumi u konačnosti efikasni, gdje je problem? No, praksa Suda je otišla korak</w:t>
      </w:r>
      <w:r w:rsidR="00F54D7A">
        <w:rPr>
          <w:szCs w:val="24"/>
          <w:lang w:val="hr-HR"/>
        </w:rPr>
        <w:t xml:space="preserve"> dalje i u nizu presuda, Sud je uzeo</w:t>
      </w:r>
      <w:r w:rsidR="004F015B" w:rsidRPr="008C78FC">
        <w:rPr>
          <w:szCs w:val="24"/>
          <w:lang w:val="hr-HR"/>
        </w:rPr>
        <w:t xml:space="preserve"> u obzir i druge ciljeve, često javne prirode. </w:t>
      </w:r>
      <w:r w:rsidR="009B6322">
        <w:rPr>
          <w:szCs w:val="24"/>
          <w:lang w:val="hr-HR"/>
        </w:rPr>
        <w:t xml:space="preserve">Sveobuhvatna debata o legitimnosti i svrsishodnosti ciljeva javne prirode u kontekstu članka 101(1) </w:t>
      </w:r>
      <w:proofErr w:type="spellStart"/>
      <w:r w:rsidR="009B6322">
        <w:rPr>
          <w:szCs w:val="24"/>
          <w:lang w:val="hr-HR"/>
        </w:rPr>
        <w:t>UFEU</w:t>
      </w:r>
      <w:proofErr w:type="spellEnd"/>
      <w:r w:rsidR="009B6322">
        <w:rPr>
          <w:szCs w:val="24"/>
          <w:lang w:val="hr-HR"/>
        </w:rPr>
        <w:t xml:space="preserve"> izlazi okvire ovog rada</w:t>
      </w:r>
      <w:r w:rsidR="009B6322">
        <w:rPr>
          <w:rStyle w:val="Referencafusnote"/>
          <w:szCs w:val="24"/>
          <w:lang w:val="hr-HR"/>
        </w:rPr>
        <w:footnoteReference w:id="70"/>
      </w:r>
      <w:r w:rsidR="009B6322">
        <w:rPr>
          <w:szCs w:val="24"/>
          <w:lang w:val="hr-HR"/>
        </w:rPr>
        <w:t xml:space="preserve">. Međutim, kako bi se u potpunosti </w:t>
      </w:r>
      <w:r w:rsidR="009737A3">
        <w:rPr>
          <w:szCs w:val="24"/>
          <w:lang w:val="hr-HR"/>
        </w:rPr>
        <w:t>razumjela</w:t>
      </w:r>
      <w:r w:rsidR="009B6322">
        <w:rPr>
          <w:szCs w:val="24"/>
          <w:lang w:val="hr-HR"/>
        </w:rPr>
        <w:t xml:space="preserve"> primjena kategorije ograničenja po cilju, nužno se osvrnuti i na ovaj problem, U </w:t>
      </w:r>
      <w:r w:rsidR="009737A3">
        <w:rPr>
          <w:szCs w:val="24"/>
          <w:lang w:val="hr-HR"/>
        </w:rPr>
        <w:t>nastavku</w:t>
      </w:r>
      <w:r w:rsidR="009B6322">
        <w:rPr>
          <w:szCs w:val="24"/>
          <w:lang w:val="hr-HR"/>
        </w:rPr>
        <w:t xml:space="preserve"> se stoga analizira dosadašnja praksa Suda po tom pitanju.</w:t>
      </w:r>
      <w:r w:rsidR="009737A3">
        <w:rPr>
          <w:szCs w:val="24"/>
          <w:lang w:val="hr-HR"/>
        </w:rPr>
        <w:t xml:space="preserve"> </w:t>
      </w:r>
      <w:r w:rsidR="004F015B" w:rsidRPr="008C78FC">
        <w:rPr>
          <w:szCs w:val="24"/>
          <w:lang w:val="hr-HR"/>
        </w:rPr>
        <w:t xml:space="preserve">U nastavku se prvo obrađuje to pitanje u kontekstu </w:t>
      </w:r>
      <w:proofErr w:type="spellStart"/>
      <w:r w:rsidR="004F015B" w:rsidRPr="008C78FC">
        <w:rPr>
          <w:szCs w:val="24"/>
          <w:lang w:val="hr-HR"/>
        </w:rPr>
        <w:t>deontoloških</w:t>
      </w:r>
      <w:proofErr w:type="spellEnd"/>
      <w:r w:rsidR="004F015B" w:rsidRPr="008C78FC">
        <w:rPr>
          <w:szCs w:val="24"/>
          <w:lang w:val="hr-HR"/>
        </w:rPr>
        <w:t xml:space="preserve"> pravila </w:t>
      </w:r>
      <w:proofErr w:type="spellStart"/>
      <w:r w:rsidR="004F015B" w:rsidRPr="008C78FC">
        <w:rPr>
          <w:szCs w:val="24"/>
          <w:lang w:val="hr-HR"/>
        </w:rPr>
        <w:t>kvazi</w:t>
      </w:r>
      <w:proofErr w:type="spellEnd"/>
      <w:r w:rsidR="004F015B" w:rsidRPr="008C78FC">
        <w:rPr>
          <w:szCs w:val="24"/>
          <w:lang w:val="hr-HR"/>
        </w:rPr>
        <w:t>-regulatornih tijela, a drugom dijelu se osvrćemo na ulogu ciljeva od javnog interesa u sporazumima isključivo privatnih poduzeća.</w:t>
      </w:r>
    </w:p>
    <w:p w:rsidR="008360D1" w:rsidRPr="008C78FC" w:rsidRDefault="008360D1">
      <w:pPr>
        <w:spacing w:before="0" w:after="0" w:line="240" w:lineRule="auto"/>
        <w:jc w:val="left"/>
        <w:rPr>
          <w:rFonts w:asciiTheme="majorHAnsi" w:eastAsiaTheme="majorEastAsia" w:hAnsiTheme="majorHAnsi" w:cstheme="majorBidi"/>
          <w:b/>
          <w:bCs/>
          <w:i/>
          <w:iCs/>
          <w:color w:val="4F81BD" w:themeColor="accent1"/>
          <w:lang w:val="hr-HR"/>
        </w:rPr>
      </w:pPr>
      <w:r w:rsidRPr="008C78FC">
        <w:rPr>
          <w:lang w:val="hr-HR"/>
        </w:rPr>
        <w:br w:type="page"/>
      </w:r>
    </w:p>
    <w:p w:rsidR="008360D1" w:rsidRPr="00A43E3E" w:rsidRDefault="004F015B" w:rsidP="00A43E3E">
      <w:pPr>
        <w:pStyle w:val="Naslov4"/>
        <w:rPr>
          <w:lang w:val="hr-HR"/>
        </w:rPr>
      </w:pPr>
      <w:proofErr w:type="spellStart"/>
      <w:r w:rsidRPr="008C78FC">
        <w:rPr>
          <w:lang w:val="hr-HR"/>
        </w:rPr>
        <w:lastRenderedPageBreak/>
        <w:t>Kvazi</w:t>
      </w:r>
      <w:proofErr w:type="spellEnd"/>
      <w:r w:rsidRPr="008C78FC">
        <w:rPr>
          <w:lang w:val="hr-HR"/>
        </w:rPr>
        <w:t>-regulatorna pravila</w:t>
      </w:r>
    </w:p>
    <w:p w:rsidR="005C6D74" w:rsidRDefault="005C6D74" w:rsidP="001C085A">
      <w:pPr>
        <w:spacing w:line="480" w:lineRule="auto"/>
        <w:ind w:firstLine="708"/>
        <w:rPr>
          <w:szCs w:val="24"/>
          <w:lang w:val="hr-HR"/>
        </w:rPr>
      </w:pPr>
    </w:p>
    <w:p w:rsidR="004D044C" w:rsidRPr="008C78FC" w:rsidRDefault="00492A59" w:rsidP="001C085A">
      <w:pPr>
        <w:spacing w:line="480" w:lineRule="auto"/>
        <w:ind w:firstLine="708"/>
        <w:rPr>
          <w:szCs w:val="24"/>
          <w:lang w:val="hr-HR"/>
        </w:rPr>
      </w:pPr>
      <w:r w:rsidRPr="008C78FC">
        <w:rPr>
          <w:szCs w:val="24"/>
          <w:lang w:val="hr-HR"/>
        </w:rPr>
        <w:t xml:space="preserve">U </w:t>
      </w:r>
      <w:proofErr w:type="spellStart"/>
      <w:r w:rsidRPr="008C78FC">
        <w:rPr>
          <w:szCs w:val="24"/>
          <w:lang w:val="hr-HR"/>
        </w:rPr>
        <w:t>prejudicialnom</w:t>
      </w:r>
      <w:proofErr w:type="spellEnd"/>
      <w:r w:rsidRPr="008C78FC">
        <w:rPr>
          <w:szCs w:val="24"/>
          <w:lang w:val="hr-HR"/>
        </w:rPr>
        <w:t xml:space="preserve"> postupku u predmetu </w:t>
      </w:r>
      <w:proofErr w:type="spellStart"/>
      <w:r w:rsidRPr="008C78FC">
        <w:rPr>
          <w:i/>
          <w:szCs w:val="24"/>
          <w:lang w:val="hr-HR"/>
        </w:rPr>
        <w:t>Wouters</w:t>
      </w:r>
      <w:proofErr w:type="spellEnd"/>
      <w:r w:rsidRPr="008C78FC">
        <w:rPr>
          <w:i/>
          <w:szCs w:val="24"/>
          <w:lang w:val="hr-HR"/>
        </w:rPr>
        <w:t xml:space="preserve"> v </w:t>
      </w:r>
      <w:proofErr w:type="spellStart"/>
      <w:r w:rsidRPr="008C78FC">
        <w:rPr>
          <w:i/>
          <w:szCs w:val="24"/>
          <w:lang w:val="hr-HR"/>
        </w:rPr>
        <w:t>AlgemeneRaad</w:t>
      </w:r>
      <w:proofErr w:type="spellEnd"/>
      <w:r w:rsidRPr="008C78FC">
        <w:rPr>
          <w:i/>
          <w:szCs w:val="24"/>
          <w:lang w:val="hr-HR"/>
        </w:rPr>
        <w:t xml:space="preserve"> van de </w:t>
      </w:r>
      <w:proofErr w:type="spellStart"/>
      <w:r w:rsidRPr="008C78FC">
        <w:rPr>
          <w:i/>
          <w:szCs w:val="24"/>
          <w:lang w:val="hr-HR"/>
        </w:rPr>
        <w:t>NetherlandeseOrde</w:t>
      </w:r>
      <w:proofErr w:type="spellEnd"/>
      <w:r w:rsidRPr="008C78FC">
        <w:rPr>
          <w:i/>
          <w:szCs w:val="24"/>
          <w:lang w:val="hr-HR"/>
        </w:rPr>
        <w:t xml:space="preserve"> van </w:t>
      </w:r>
      <w:proofErr w:type="spellStart"/>
      <w:r w:rsidRPr="008C78FC">
        <w:rPr>
          <w:i/>
          <w:szCs w:val="24"/>
          <w:lang w:val="hr-HR"/>
        </w:rPr>
        <w:t>Advocaten</w:t>
      </w:r>
      <w:proofErr w:type="spellEnd"/>
      <w:r w:rsidR="0099719D" w:rsidRPr="008C78FC">
        <w:rPr>
          <w:rStyle w:val="Referencafusnote"/>
          <w:i/>
          <w:szCs w:val="24"/>
          <w:lang w:val="hr-HR"/>
        </w:rPr>
        <w:footnoteReference w:id="71"/>
      </w:r>
      <w:r w:rsidRPr="008C78FC">
        <w:rPr>
          <w:i/>
          <w:szCs w:val="24"/>
          <w:lang w:val="hr-HR"/>
        </w:rPr>
        <w:t xml:space="preserve">, </w:t>
      </w:r>
      <w:r w:rsidRPr="008C78FC">
        <w:rPr>
          <w:szCs w:val="24"/>
          <w:lang w:val="hr-HR"/>
        </w:rPr>
        <w:t xml:space="preserve">Sud je razmatrao pravilo nizozemske odvjetničke komore kojim se zabranjuje odvjetničkim uredima da osnivaju puna partnerstva s knjigovođama. </w:t>
      </w:r>
    </w:p>
    <w:p w:rsidR="004D044C" w:rsidRPr="008C78FC" w:rsidRDefault="0080751F" w:rsidP="0080751F">
      <w:pPr>
        <w:spacing w:line="480" w:lineRule="auto"/>
        <w:ind w:firstLine="708"/>
        <w:rPr>
          <w:lang w:val="hr-HR"/>
        </w:rPr>
      </w:pPr>
      <w:r w:rsidRPr="008C78FC">
        <w:rPr>
          <w:szCs w:val="24"/>
          <w:lang w:val="hr-HR"/>
        </w:rPr>
        <w:t xml:space="preserve">Kao uvodno pitanje bilo je nužno utvrditi da li se na nizozemsku komoru uopće primjenjuje članak 101 </w:t>
      </w:r>
      <w:proofErr w:type="spellStart"/>
      <w:r w:rsidRPr="008C78FC">
        <w:rPr>
          <w:szCs w:val="24"/>
          <w:lang w:val="hr-HR"/>
        </w:rPr>
        <w:t>UFEU</w:t>
      </w:r>
      <w:proofErr w:type="spellEnd"/>
      <w:r w:rsidRPr="008C78FC">
        <w:rPr>
          <w:szCs w:val="24"/>
          <w:lang w:val="hr-HR"/>
        </w:rPr>
        <w:t xml:space="preserve">. Naime, bilo je sporno da li je Komora tijelo javnog prava koje je izuzeto iz primjene pravila tržišnog natjecanja. </w:t>
      </w:r>
      <w:r w:rsidR="00492A59" w:rsidRPr="008C78FC">
        <w:rPr>
          <w:szCs w:val="24"/>
          <w:lang w:val="hr-HR"/>
        </w:rPr>
        <w:t xml:space="preserve">Sud </w:t>
      </w:r>
      <w:r w:rsidRPr="008C78FC">
        <w:rPr>
          <w:szCs w:val="24"/>
          <w:lang w:val="hr-HR"/>
        </w:rPr>
        <w:t xml:space="preserve">je međutim </w:t>
      </w:r>
      <w:r w:rsidR="00492A59" w:rsidRPr="008C78FC">
        <w:rPr>
          <w:szCs w:val="24"/>
          <w:lang w:val="hr-HR"/>
        </w:rPr>
        <w:t>zaključio da Uredba nizozemske odvjetničke komore doista odluka udruženja poduzetnika u smislu članka 101(1),</w:t>
      </w:r>
      <w:r w:rsidRPr="008C78FC">
        <w:rPr>
          <w:szCs w:val="24"/>
          <w:lang w:val="hr-HR"/>
        </w:rPr>
        <w:t xml:space="preserve"> jer Komora u tom pogledu obavlja ekonomsku djelatnost.</w:t>
      </w:r>
      <w:r w:rsidR="00A94E6D" w:rsidRPr="008C78FC">
        <w:rPr>
          <w:lang w:val="hr-HR"/>
        </w:rPr>
        <w:t xml:space="preserve"> U nastavku</w:t>
      </w:r>
      <w:r w:rsidR="008C6A72" w:rsidRPr="008C78FC">
        <w:rPr>
          <w:lang w:val="hr-HR"/>
        </w:rPr>
        <w:t xml:space="preserve"> Sud zaključuje “kako se čini da predmetna odluka ima negativan učinak na tržišno natjecanje” jer bi partnerstva između odvjetnika i knjigovođa mogla dovesti razvoju novih djelatnosti, pružiti široki spektar različitih usluga klijentima i rezultirati u smanjenu troškova primjenom ekonomije mase</w:t>
      </w:r>
      <w:r w:rsidR="00A94E6D" w:rsidRPr="008C78FC">
        <w:rPr>
          <w:lang w:val="hr-HR"/>
        </w:rPr>
        <w:t>. O</w:t>
      </w:r>
      <w:r w:rsidR="008C6A72" w:rsidRPr="008C78FC">
        <w:rPr>
          <w:lang w:val="hr-HR"/>
        </w:rPr>
        <w:t xml:space="preserve">dredba koja zabranjuje multidisciplinarno partnerstvo ograničava </w:t>
      </w:r>
      <w:r w:rsidR="008C6A72" w:rsidRPr="008C78FC">
        <w:rPr>
          <w:rFonts w:eastAsia="TimesNewRomanPSMT"/>
          <w:szCs w:val="24"/>
          <w:lang w:val="hr-HR"/>
        </w:rPr>
        <w:t>proizvodnju i tehnički razvoj u smislu članka 101(1)(b). Takva ograničenja su se u pravilu tretirala kao ograničenja po cilju</w:t>
      </w:r>
      <w:r w:rsidR="00A94E6D" w:rsidRPr="008C78FC">
        <w:rPr>
          <w:rStyle w:val="Referencafusnote"/>
          <w:rFonts w:eastAsia="TimesNewRomanPSMT"/>
          <w:szCs w:val="24"/>
          <w:lang w:val="hr-HR"/>
        </w:rPr>
        <w:footnoteReference w:id="72"/>
      </w:r>
      <w:r w:rsidR="008C6A72" w:rsidRPr="008C78FC">
        <w:rPr>
          <w:rFonts w:eastAsia="TimesNewRomanPSMT"/>
          <w:szCs w:val="24"/>
          <w:lang w:val="hr-HR"/>
        </w:rPr>
        <w:t xml:space="preserve">. </w:t>
      </w:r>
      <w:r w:rsidR="008360D1" w:rsidRPr="008C78FC">
        <w:rPr>
          <w:szCs w:val="24"/>
          <w:lang w:val="hr-HR"/>
        </w:rPr>
        <w:t>Kako pravilo iznimke iz članka 101(3) nije bilo primjenjivo</w:t>
      </w:r>
      <w:r w:rsidR="008360D1" w:rsidRPr="008C78FC">
        <w:rPr>
          <w:rStyle w:val="Referencafusnote"/>
          <w:szCs w:val="24"/>
          <w:lang w:val="hr-HR"/>
        </w:rPr>
        <w:footnoteReference w:id="73"/>
      </w:r>
      <w:r w:rsidR="008360D1" w:rsidRPr="008C78FC">
        <w:rPr>
          <w:szCs w:val="24"/>
          <w:lang w:val="hr-HR"/>
        </w:rPr>
        <w:t xml:space="preserve">, </w:t>
      </w:r>
      <w:r w:rsidR="004D044C" w:rsidRPr="008C78FC">
        <w:rPr>
          <w:szCs w:val="24"/>
          <w:lang w:val="hr-HR"/>
        </w:rPr>
        <w:t>očekivano bi bilo da analiza završava. No, ključan dio presude tek slijedi.</w:t>
      </w:r>
    </w:p>
    <w:p w:rsidR="00492A59" w:rsidRPr="008C78FC" w:rsidRDefault="00780A71" w:rsidP="001C085A">
      <w:pPr>
        <w:spacing w:line="480" w:lineRule="auto"/>
        <w:ind w:firstLine="708"/>
        <w:rPr>
          <w:szCs w:val="24"/>
          <w:lang w:val="hr-HR"/>
        </w:rPr>
      </w:pPr>
      <w:r w:rsidRPr="008C78FC">
        <w:rPr>
          <w:szCs w:val="24"/>
          <w:lang w:val="hr-HR"/>
        </w:rPr>
        <w:t xml:space="preserve">Sud </w:t>
      </w:r>
      <w:r w:rsidR="004D044C" w:rsidRPr="008C78FC">
        <w:rPr>
          <w:szCs w:val="24"/>
          <w:lang w:val="hr-HR"/>
        </w:rPr>
        <w:t xml:space="preserve">započinje svoju analizu </w:t>
      </w:r>
      <w:r w:rsidR="008360D1" w:rsidRPr="008C78FC">
        <w:rPr>
          <w:szCs w:val="24"/>
          <w:lang w:val="hr-HR"/>
        </w:rPr>
        <w:t>napomenuvši</w:t>
      </w:r>
      <w:r w:rsidRPr="008C78FC">
        <w:rPr>
          <w:szCs w:val="24"/>
          <w:lang w:val="hr-HR"/>
        </w:rPr>
        <w:t xml:space="preserve"> da svaka odluka udruženja poduzetnika koja ograničava ekonomsku slobodu poduzetnika nije nužno protivna članku [101(1) </w:t>
      </w:r>
      <w:proofErr w:type="spellStart"/>
      <w:r w:rsidRPr="008C78FC">
        <w:rPr>
          <w:szCs w:val="24"/>
          <w:lang w:val="hr-HR"/>
        </w:rPr>
        <w:lastRenderedPageBreak/>
        <w:t>UFEU</w:t>
      </w:r>
      <w:proofErr w:type="spellEnd"/>
      <w:r w:rsidRPr="008C78FC">
        <w:rPr>
          <w:szCs w:val="24"/>
          <w:lang w:val="hr-HR"/>
        </w:rPr>
        <w:t>]</w:t>
      </w:r>
      <w:r w:rsidRPr="008C78FC">
        <w:rPr>
          <w:rStyle w:val="Referencafusnote"/>
          <w:szCs w:val="24"/>
          <w:lang w:val="hr-HR"/>
        </w:rPr>
        <w:footnoteReference w:id="74"/>
      </w:r>
      <w:bookmarkStart w:id="13" w:name="MO"/>
      <w:r w:rsidRPr="008C78FC">
        <w:rPr>
          <w:szCs w:val="24"/>
          <w:lang w:val="hr-HR"/>
        </w:rPr>
        <w:t>Kako bi nadležno tijelo moglo donijeti odluku nužno mora</w:t>
      </w:r>
      <w:r w:rsidR="00767808" w:rsidRPr="008C78FC">
        <w:rPr>
          <w:szCs w:val="24"/>
          <w:lang w:val="hr-HR"/>
        </w:rPr>
        <w:t xml:space="preserve"> uzeti u obzir sveukupni kontekst</w:t>
      </w:r>
      <w:r w:rsidRPr="008C78FC">
        <w:rPr>
          <w:szCs w:val="24"/>
          <w:lang w:val="hr-HR"/>
        </w:rPr>
        <w:t xml:space="preserve"> odluke</w:t>
      </w:r>
      <w:r w:rsidR="00767808" w:rsidRPr="008C78FC">
        <w:rPr>
          <w:szCs w:val="24"/>
          <w:lang w:val="hr-HR"/>
        </w:rPr>
        <w:t xml:space="preserve"> i svrhu za kojom ide</w:t>
      </w:r>
      <w:r w:rsidRPr="008C78FC">
        <w:rPr>
          <w:szCs w:val="24"/>
          <w:lang w:val="hr-HR"/>
        </w:rPr>
        <w:t xml:space="preserve">. </w:t>
      </w:r>
      <w:r w:rsidR="00767808" w:rsidRPr="008C78FC">
        <w:rPr>
          <w:szCs w:val="24"/>
          <w:lang w:val="hr-HR"/>
        </w:rPr>
        <w:t xml:space="preserve">Naime, odlukom su donesena pravila da bi </w:t>
      </w:r>
      <w:r w:rsidR="004D044C" w:rsidRPr="008C78FC">
        <w:rPr>
          <w:szCs w:val="24"/>
          <w:lang w:val="hr-HR"/>
        </w:rPr>
        <w:t>se u konačnosti jamčio integritet pravnog sustava i adekvatna usluga klijentima</w:t>
      </w:r>
      <w:r w:rsidR="00AA01DE" w:rsidRPr="008C78FC">
        <w:rPr>
          <w:rStyle w:val="Referencafusnote"/>
          <w:szCs w:val="24"/>
          <w:lang w:val="hr-HR"/>
        </w:rPr>
        <w:footnoteReference w:id="75"/>
      </w:r>
      <w:bookmarkEnd w:id="13"/>
      <w:r w:rsidR="004D044C" w:rsidRPr="008C78FC">
        <w:rPr>
          <w:szCs w:val="24"/>
          <w:lang w:val="hr-HR"/>
        </w:rPr>
        <w:t>.</w:t>
      </w:r>
      <w:r w:rsidR="001F792E" w:rsidRPr="008C78FC">
        <w:rPr>
          <w:szCs w:val="24"/>
          <w:lang w:val="hr-HR"/>
        </w:rPr>
        <w:t>Ostatak presude se doima poput predmeta</w:t>
      </w:r>
      <w:r w:rsidR="00AA01DE" w:rsidRPr="008C78FC">
        <w:rPr>
          <w:szCs w:val="24"/>
          <w:lang w:val="hr-HR"/>
        </w:rPr>
        <w:t xml:space="preserve"> iz područja slobodno kretanja usluga. Nakon što je ustvrdio da se radi o legitimnom cilju, provodi se svojevrsni test proporcionalno</w:t>
      </w:r>
      <w:r w:rsidR="004D044C" w:rsidRPr="008C78FC">
        <w:rPr>
          <w:szCs w:val="24"/>
          <w:lang w:val="hr-HR"/>
        </w:rPr>
        <w:t>sti</w:t>
      </w:r>
      <w:r w:rsidR="00AA01DE" w:rsidRPr="008C78FC">
        <w:rPr>
          <w:szCs w:val="24"/>
          <w:lang w:val="hr-HR"/>
        </w:rPr>
        <w:t>. Upozorivši da revizorska uloga knjigovođa i savjetodavna funkcija odvjetnika nisu u potpunosti</w:t>
      </w:r>
      <w:r w:rsidR="004D044C" w:rsidRPr="008C78FC">
        <w:rPr>
          <w:szCs w:val="24"/>
          <w:lang w:val="hr-HR"/>
        </w:rPr>
        <w:t xml:space="preserve"> kompatibilne,</w:t>
      </w:r>
      <w:r w:rsidR="001F792E" w:rsidRPr="008C78FC">
        <w:rPr>
          <w:szCs w:val="24"/>
          <w:lang w:val="hr-HR"/>
        </w:rPr>
        <w:t>S</w:t>
      </w:r>
      <w:r w:rsidR="00AA01DE" w:rsidRPr="008C78FC">
        <w:rPr>
          <w:szCs w:val="24"/>
          <w:lang w:val="hr-HR"/>
        </w:rPr>
        <w:t xml:space="preserve">ud zaključuje da je mjera poput zabrane partnerstva među odvjetnicima i knjigovođama </w:t>
      </w:r>
      <w:r w:rsidR="001F792E" w:rsidRPr="008C78FC">
        <w:rPr>
          <w:szCs w:val="24"/>
          <w:lang w:val="hr-HR"/>
        </w:rPr>
        <w:t>primjerena za zaštitu pravne struke te da mjera ne ide iznad onoga što je nužno za zaštitu pravne profesije</w:t>
      </w:r>
      <w:r w:rsidR="00492A59" w:rsidRPr="008C78FC">
        <w:rPr>
          <w:szCs w:val="24"/>
          <w:lang w:val="hr-HR"/>
        </w:rPr>
        <w:t>.</w:t>
      </w:r>
      <w:r w:rsidR="00492A59" w:rsidRPr="008C78FC">
        <w:rPr>
          <w:rStyle w:val="Referencafusnote"/>
          <w:szCs w:val="24"/>
          <w:lang w:val="hr-HR"/>
        </w:rPr>
        <w:footnoteReference w:id="76"/>
      </w:r>
    </w:p>
    <w:p w:rsidR="00A556A6" w:rsidRPr="008C78FC" w:rsidRDefault="00A556A6" w:rsidP="009737A3">
      <w:pPr>
        <w:spacing w:line="480" w:lineRule="auto"/>
        <w:ind w:firstLine="708"/>
        <w:rPr>
          <w:szCs w:val="24"/>
          <w:lang w:val="hr-HR"/>
        </w:rPr>
      </w:pPr>
      <w:r w:rsidRPr="008C78FC">
        <w:rPr>
          <w:szCs w:val="24"/>
          <w:lang w:val="hr-HR"/>
        </w:rPr>
        <w:t>Presuda u predmetu je otvorila niz zanimljivih pitanja, a za potrebe ovog rada osvrnuti ću se na dva a</w:t>
      </w:r>
      <w:r w:rsidR="004D044C" w:rsidRPr="008C78FC">
        <w:rPr>
          <w:szCs w:val="24"/>
          <w:lang w:val="hr-HR"/>
        </w:rPr>
        <w:t>s</w:t>
      </w:r>
      <w:r w:rsidRPr="008C78FC">
        <w:rPr>
          <w:szCs w:val="24"/>
          <w:lang w:val="hr-HR"/>
        </w:rPr>
        <w:t>pekta. Prvo, Sud je naoko uveo mogućnost opravdanja sporazuma koji ograničava tržišno natjecanje u okviru članka 101(1). Takav pristup je u suštini</w:t>
      </w:r>
      <w:r w:rsidR="008C6A72" w:rsidRPr="008C78FC">
        <w:rPr>
          <w:szCs w:val="24"/>
          <w:lang w:val="hr-HR"/>
        </w:rPr>
        <w:t xml:space="preserve"> suprotan stajalištu koje je Sud prve instance iznio predmetima</w:t>
      </w:r>
      <w:r w:rsidRPr="008C78FC">
        <w:rPr>
          <w:szCs w:val="24"/>
          <w:lang w:val="hr-HR"/>
        </w:rPr>
        <w:t xml:space="preserve"> poput </w:t>
      </w:r>
      <w:r w:rsidRPr="008C78FC">
        <w:rPr>
          <w:i/>
          <w:szCs w:val="24"/>
          <w:lang w:val="hr-HR"/>
        </w:rPr>
        <w:t>Metropole</w:t>
      </w:r>
      <w:r w:rsidR="004D044C" w:rsidRPr="008C78FC">
        <w:rPr>
          <w:rStyle w:val="Referencafusnote"/>
          <w:i/>
          <w:szCs w:val="24"/>
          <w:lang w:val="hr-HR"/>
        </w:rPr>
        <w:footnoteReference w:id="77"/>
      </w:r>
      <w:r w:rsidRPr="008C78FC">
        <w:rPr>
          <w:szCs w:val="24"/>
          <w:lang w:val="hr-HR"/>
        </w:rPr>
        <w:t xml:space="preserve">kada je naglasio da svaka </w:t>
      </w:r>
      <w:r w:rsidR="008C6A72" w:rsidRPr="008C78FC">
        <w:rPr>
          <w:szCs w:val="24"/>
          <w:lang w:val="hr-HR"/>
        </w:rPr>
        <w:t>bilanciranje negativnih</w:t>
      </w:r>
      <w:r w:rsidRPr="008C78FC">
        <w:rPr>
          <w:szCs w:val="24"/>
          <w:lang w:val="hr-HR"/>
        </w:rPr>
        <w:t xml:space="preserve"> i pozitivnih učinaka sporazuma se može odvijati jedino unutar okvira članka 101(3) </w:t>
      </w:r>
      <w:proofErr w:type="spellStart"/>
      <w:r w:rsidRPr="008C78FC">
        <w:rPr>
          <w:szCs w:val="24"/>
          <w:lang w:val="hr-HR"/>
        </w:rPr>
        <w:t>TFEU</w:t>
      </w:r>
      <w:proofErr w:type="spellEnd"/>
      <w:r w:rsidRPr="008C78FC">
        <w:rPr>
          <w:szCs w:val="24"/>
          <w:lang w:val="hr-HR"/>
        </w:rPr>
        <w:t xml:space="preserve">. No, u ovom slučaju to nije bilo moguće jer </w:t>
      </w:r>
      <w:r w:rsidR="000F656D" w:rsidRPr="008C78FC">
        <w:rPr>
          <w:szCs w:val="24"/>
          <w:lang w:val="hr-HR"/>
        </w:rPr>
        <w:t xml:space="preserve">uredba nizozemske odvjetničke komore nije bila </w:t>
      </w:r>
      <w:proofErr w:type="spellStart"/>
      <w:r w:rsidR="000F656D" w:rsidRPr="008C78FC">
        <w:rPr>
          <w:szCs w:val="24"/>
          <w:lang w:val="hr-HR"/>
        </w:rPr>
        <w:t>notificirana</w:t>
      </w:r>
      <w:proofErr w:type="spellEnd"/>
      <w:r w:rsidR="000F656D" w:rsidRPr="008C78FC">
        <w:rPr>
          <w:szCs w:val="24"/>
          <w:lang w:val="hr-HR"/>
        </w:rPr>
        <w:t xml:space="preserve"> Komisiji. </w:t>
      </w:r>
      <w:r w:rsidRPr="008C78FC">
        <w:rPr>
          <w:szCs w:val="24"/>
          <w:lang w:val="hr-HR"/>
        </w:rPr>
        <w:t>Mnogi komentatori su upravo u činjenici da je pravilo nizo</w:t>
      </w:r>
      <w:r w:rsidR="00A3039F" w:rsidRPr="008C78FC">
        <w:rPr>
          <w:szCs w:val="24"/>
          <w:lang w:val="hr-HR"/>
        </w:rPr>
        <w:t>ze</w:t>
      </w:r>
      <w:r w:rsidR="000F656D" w:rsidRPr="008C78FC">
        <w:rPr>
          <w:szCs w:val="24"/>
          <w:lang w:val="hr-HR"/>
        </w:rPr>
        <w:t xml:space="preserve">mske komore upalo u </w:t>
      </w:r>
      <w:proofErr w:type="spellStart"/>
      <w:r w:rsidR="000F656D" w:rsidRPr="008C78FC">
        <w:rPr>
          <w:szCs w:val="24"/>
          <w:lang w:val="hr-HR"/>
        </w:rPr>
        <w:t>tzv</w:t>
      </w:r>
      <w:proofErr w:type="spellEnd"/>
      <w:r w:rsidR="000F656D" w:rsidRPr="008C78FC">
        <w:rPr>
          <w:szCs w:val="24"/>
          <w:lang w:val="hr-HR"/>
        </w:rPr>
        <w:t xml:space="preserve"> zamko not</w:t>
      </w:r>
      <w:r w:rsidR="00A3039F" w:rsidRPr="008C78FC">
        <w:rPr>
          <w:szCs w:val="24"/>
          <w:lang w:val="hr-HR"/>
        </w:rPr>
        <w:t>i</w:t>
      </w:r>
      <w:r w:rsidR="000F656D" w:rsidRPr="008C78FC">
        <w:rPr>
          <w:szCs w:val="24"/>
          <w:lang w:val="hr-HR"/>
        </w:rPr>
        <w:t xml:space="preserve">fikacije vidjelo objašnjenje </w:t>
      </w:r>
      <w:proofErr w:type="spellStart"/>
      <w:r w:rsidR="000F656D" w:rsidRPr="008C78FC">
        <w:rPr>
          <w:szCs w:val="24"/>
          <w:lang w:val="hr-HR"/>
        </w:rPr>
        <w:t>kurioznog</w:t>
      </w:r>
      <w:proofErr w:type="spellEnd"/>
      <w:r w:rsidR="000F656D" w:rsidRPr="008C78FC">
        <w:rPr>
          <w:szCs w:val="24"/>
          <w:lang w:val="hr-HR"/>
        </w:rPr>
        <w:t xml:space="preserve"> pristupa Suda. Sud je jednostavno proveo analizu iz članka 101(3) unutar okvira pravila zabrana. I prije </w:t>
      </w:r>
      <w:proofErr w:type="spellStart"/>
      <w:r w:rsidR="000F656D" w:rsidRPr="008C78FC">
        <w:rPr>
          <w:i/>
          <w:szCs w:val="24"/>
          <w:lang w:val="hr-HR"/>
        </w:rPr>
        <w:t>Wouters</w:t>
      </w:r>
      <w:proofErr w:type="spellEnd"/>
      <w:r w:rsidR="009737A3">
        <w:rPr>
          <w:i/>
          <w:szCs w:val="24"/>
          <w:lang w:val="hr-HR"/>
        </w:rPr>
        <w:t xml:space="preserve"> </w:t>
      </w:r>
      <w:r w:rsidR="000F656D" w:rsidRPr="008C78FC">
        <w:rPr>
          <w:szCs w:val="24"/>
          <w:lang w:val="hr-HR"/>
        </w:rPr>
        <w:t xml:space="preserve">presude mnogi </w:t>
      </w:r>
      <w:r w:rsidR="00A3039F" w:rsidRPr="008C78FC">
        <w:rPr>
          <w:szCs w:val="24"/>
          <w:lang w:val="hr-HR"/>
        </w:rPr>
        <w:t>komentatori</w:t>
      </w:r>
      <w:r w:rsidR="000F656D" w:rsidRPr="008C78FC">
        <w:rPr>
          <w:szCs w:val="24"/>
          <w:lang w:val="hr-HR"/>
        </w:rPr>
        <w:t xml:space="preserve"> su </w:t>
      </w:r>
      <w:r w:rsidR="00A3039F" w:rsidRPr="008C78FC">
        <w:rPr>
          <w:szCs w:val="24"/>
          <w:lang w:val="hr-HR"/>
        </w:rPr>
        <w:t>primijetili</w:t>
      </w:r>
      <w:r w:rsidR="000F656D" w:rsidRPr="008C78FC">
        <w:rPr>
          <w:szCs w:val="24"/>
          <w:lang w:val="hr-HR"/>
        </w:rPr>
        <w:t xml:space="preserve"> da Sud primjenjuje </w:t>
      </w:r>
      <w:r w:rsidR="000F656D" w:rsidRPr="008C78FC">
        <w:rPr>
          <w:szCs w:val="24"/>
          <w:lang w:val="hr-HR"/>
        </w:rPr>
        <w:lastRenderedPageBreak/>
        <w:t>nešto širu analizu kako bi utvrdio da li je sporazum protivan članku 101(1) ukoliko smatra da je sporazum mogao zadovoljiti uvjete iz člank</w:t>
      </w:r>
      <w:r w:rsidR="00A3039F" w:rsidRPr="008C78FC">
        <w:rPr>
          <w:szCs w:val="24"/>
          <w:lang w:val="hr-HR"/>
        </w:rPr>
        <w:t>a</w:t>
      </w:r>
      <w:r w:rsidR="000F656D" w:rsidRPr="008C78FC">
        <w:rPr>
          <w:szCs w:val="24"/>
          <w:lang w:val="hr-HR"/>
        </w:rPr>
        <w:t xml:space="preserve"> 101(3) da je bio </w:t>
      </w:r>
      <w:proofErr w:type="spellStart"/>
      <w:r w:rsidR="000F656D" w:rsidRPr="008C78FC">
        <w:rPr>
          <w:szCs w:val="24"/>
          <w:lang w:val="hr-HR"/>
        </w:rPr>
        <w:t>notificiran</w:t>
      </w:r>
      <w:proofErr w:type="spellEnd"/>
      <w:r w:rsidR="000F656D" w:rsidRPr="008C78FC">
        <w:rPr>
          <w:szCs w:val="24"/>
          <w:lang w:val="hr-HR"/>
        </w:rPr>
        <w:t xml:space="preserve"> Komisiji. Međutim, to objašnjenje ima određenih nedostataka. Ponajprije, Sud je u dvama novim presudama dosita potvrdio da </w:t>
      </w:r>
      <w:proofErr w:type="spellStart"/>
      <w:r w:rsidR="000F656D" w:rsidRPr="008C78FC">
        <w:rPr>
          <w:i/>
          <w:szCs w:val="24"/>
          <w:lang w:val="hr-HR"/>
        </w:rPr>
        <w:t>Wouters</w:t>
      </w:r>
      <w:proofErr w:type="spellEnd"/>
      <w:r w:rsidR="000F656D" w:rsidRPr="008C78FC">
        <w:rPr>
          <w:i/>
          <w:szCs w:val="24"/>
          <w:lang w:val="hr-HR"/>
        </w:rPr>
        <w:t xml:space="preserve"> pravilo </w:t>
      </w:r>
      <w:r w:rsidR="000F656D" w:rsidRPr="008C78FC">
        <w:rPr>
          <w:szCs w:val="24"/>
          <w:lang w:val="hr-HR"/>
        </w:rPr>
        <w:t>ima svoje mjesto i u moderniziranom pravu tržišnog natjecanja kada više ne postoji opasnost da se stranke neće moći pozivati na pravilo iznimke samo radi proceduralne nezgode. Svakako je bitno istaknuti da bi bilo teško za očekivati da bi Sud objasnio svoju prethodnu praksu na način da je povezivao analizu iz stavaka 1 i 3 članak 101 kako bi izbjegao.</w:t>
      </w:r>
    </w:p>
    <w:p w:rsidR="000F656D" w:rsidRPr="008C78FC" w:rsidRDefault="000F656D" w:rsidP="005661C1">
      <w:pPr>
        <w:spacing w:line="480" w:lineRule="auto"/>
        <w:rPr>
          <w:szCs w:val="24"/>
          <w:lang w:val="hr-HR"/>
        </w:rPr>
      </w:pPr>
      <w:r w:rsidRPr="008C78FC">
        <w:rPr>
          <w:szCs w:val="24"/>
          <w:lang w:val="hr-HR"/>
        </w:rPr>
        <w:t xml:space="preserve">Drugi problem je to što takvo objašnjenje ipak ne nudi odgovor zašto je Sud dozvolio strankama u </w:t>
      </w:r>
      <w:proofErr w:type="spellStart"/>
      <w:r w:rsidRPr="008C78FC">
        <w:rPr>
          <w:i/>
          <w:szCs w:val="24"/>
          <w:lang w:val="hr-HR"/>
        </w:rPr>
        <w:t>Wouters</w:t>
      </w:r>
      <w:r w:rsidRPr="008C78FC">
        <w:rPr>
          <w:szCs w:val="24"/>
          <w:lang w:val="hr-HR"/>
        </w:rPr>
        <w:t>predmetu</w:t>
      </w:r>
      <w:proofErr w:type="spellEnd"/>
      <w:r w:rsidRPr="008C78FC">
        <w:rPr>
          <w:szCs w:val="24"/>
          <w:lang w:val="hr-HR"/>
        </w:rPr>
        <w:t xml:space="preserve"> da se pozivaju na legitiman cilj koji je u svojoj suštini </w:t>
      </w:r>
      <w:r w:rsidR="000439F1" w:rsidRPr="008C78FC">
        <w:rPr>
          <w:szCs w:val="24"/>
          <w:lang w:val="hr-HR"/>
        </w:rPr>
        <w:t>pitanje</w:t>
      </w:r>
      <w:r w:rsidR="009737A3">
        <w:rPr>
          <w:szCs w:val="24"/>
          <w:lang w:val="hr-HR"/>
        </w:rPr>
        <w:t xml:space="preserve"> </w:t>
      </w:r>
      <w:r w:rsidRPr="008C78FC">
        <w:rPr>
          <w:szCs w:val="24"/>
          <w:lang w:val="hr-HR"/>
        </w:rPr>
        <w:t xml:space="preserve">javnog interesa a ne </w:t>
      </w:r>
      <w:r w:rsidR="000439F1" w:rsidRPr="008C78FC">
        <w:rPr>
          <w:szCs w:val="24"/>
          <w:lang w:val="hr-HR"/>
        </w:rPr>
        <w:t xml:space="preserve">ekonomski problem. </w:t>
      </w:r>
    </w:p>
    <w:p w:rsidR="00472F33" w:rsidRPr="008C78FC" w:rsidRDefault="00DE52CA" w:rsidP="00472F33">
      <w:pPr>
        <w:spacing w:line="480" w:lineRule="auto"/>
        <w:ind w:firstLine="708"/>
        <w:rPr>
          <w:szCs w:val="24"/>
          <w:lang w:val="hr-HR"/>
        </w:rPr>
      </w:pPr>
      <w:r w:rsidRPr="008C78FC">
        <w:rPr>
          <w:szCs w:val="24"/>
          <w:lang w:val="hr-HR"/>
        </w:rPr>
        <w:t>Drugi komentatori pokušava</w:t>
      </w:r>
      <w:r w:rsidR="00472F33" w:rsidRPr="008C78FC">
        <w:rPr>
          <w:szCs w:val="24"/>
          <w:lang w:val="hr-HR"/>
        </w:rPr>
        <w:t>j</w:t>
      </w:r>
      <w:r w:rsidRPr="008C78FC">
        <w:rPr>
          <w:szCs w:val="24"/>
          <w:lang w:val="hr-HR"/>
        </w:rPr>
        <w:t xml:space="preserve">u objasniti pristup suda u </w:t>
      </w:r>
      <w:proofErr w:type="spellStart"/>
      <w:r w:rsidRPr="008C78FC">
        <w:rPr>
          <w:szCs w:val="24"/>
          <w:lang w:val="hr-HR"/>
        </w:rPr>
        <w:t>Wouters</w:t>
      </w:r>
      <w:proofErr w:type="spellEnd"/>
      <w:r w:rsidRPr="008C78FC">
        <w:rPr>
          <w:szCs w:val="24"/>
          <w:lang w:val="hr-HR"/>
        </w:rPr>
        <w:t xml:space="preserve"> kroz paralelu s pravilima o tržišnim slobodama. Naime, da je umjesto nizozemske odvjetničke komore sporno pravilo donijela država, na tu situaciju bi se primjenjivao članak 56 </w:t>
      </w:r>
      <w:proofErr w:type="spellStart"/>
      <w:r w:rsidRPr="008C78FC">
        <w:rPr>
          <w:szCs w:val="24"/>
          <w:lang w:val="hr-HR"/>
        </w:rPr>
        <w:t>UFEU</w:t>
      </w:r>
      <w:proofErr w:type="spellEnd"/>
      <w:r w:rsidRPr="008C78FC">
        <w:rPr>
          <w:szCs w:val="24"/>
          <w:lang w:val="hr-HR"/>
        </w:rPr>
        <w:t>. Naim</w:t>
      </w:r>
      <w:r w:rsidR="00472F33" w:rsidRPr="008C78FC">
        <w:rPr>
          <w:szCs w:val="24"/>
          <w:lang w:val="hr-HR"/>
        </w:rPr>
        <w:t>e, prema pravilima o slobodno k</w:t>
      </w:r>
      <w:r w:rsidRPr="008C78FC">
        <w:rPr>
          <w:szCs w:val="24"/>
          <w:lang w:val="hr-HR"/>
        </w:rPr>
        <w:t xml:space="preserve">retanju usluga, država članica može </w:t>
      </w:r>
      <w:r w:rsidR="00472F33" w:rsidRPr="008C78FC">
        <w:rPr>
          <w:szCs w:val="24"/>
          <w:lang w:val="hr-HR"/>
        </w:rPr>
        <w:t>implementirati</w:t>
      </w:r>
      <w:r w:rsidRPr="008C78FC">
        <w:rPr>
          <w:szCs w:val="24"/>
          <w:lang w:val="hr-HR"/>
        </w:rPr>
        <w:t xml:space="preserve"> propise kojima se ograničava pružanje usl</w:t>
      </w:r>
      <w:r w:rsidR="00472F33" w:rsidRPr="008C78FC">
        <w:rPr>
          <w:szCs w:val="24"/>
          <w:lang w:val="hr-HR"/>
        </w:rPr>
        <w:t xml:space="preserve">uga </w:t>
      </w:r>
      <w:r w:rsidRPr="008C78FC">
        <w:rPr>
          <w:szCs w:val="24"/>
          <w:lang w:val="hr-HR"/>
        </w:rPr>
        <w:t>ukoliko je ta mjera nužna za zaštitu određenog javnog interesa</w:t>
      </w:r>
      <w:r w:rsidR="00472F33" w:rsidRPr="008C78FC">
        <w:rPr>
          <w:rStyle w:val="Referencafusnote"/>
          <w:szCs w:val="24"/>
          <w:lang w:val="hr-HR"/>
        </w:rPr>
        <w:footnoteReference w:id="78"/>
      </w:r>
      <w:r w:rsidRPr="008C78FC">
        <w:rPr>
          <w:szCs w:val="24"/>
          <w:lang w:val="hr-HR"/>
        </w:rPr>
        <w:t>.</w:t>
      </w:r>
      <w:r w:rsidR="00472F33" w:rsidRPr="008C78FC">
        <w:rPr>
          <w:szCs w:val="24"/>
          <w:lang w:val="hr-HR"/>
        </w:rPr>
        <w:t>Ukoliko čitamo presudu kroz prizmu pravila o slobodnom pruž</w:t>
      </w:r>
      <w:r w:rsidR="00A3039F" w:rsidRPr="008C78FC">
        <w:rPr>
          <w:szCs w:val="24"/>
          <w:lang w:val="hr-HR"/>
        </w:rPr>
        <w:t>aju usluga, nužno se postavlja p</w:t>
      </w:r>
      <w:r w:rsidR="00472F33" w:rsidRPr="008C78FC">
        <w:rPr>
          <w:szCs w:val="24"/>
          <w:lang w:val="hr-HR"/>
        </w:rPr>
        <w:t>itanje da li ti znači da je pravilo ogranič</w:t>
      </w:r>
      <w:r w:rsidR="00A3039F" w:rsidRPr="008C78FC">
        <w:rPr>
          <w:szCs w:val="24"/>
          <w:lang w:val="hr-HR"/>
        </w:rPr>
        <w:t xml:space="preserve">eno samo kada postoji </w:t>
      </w:r>
      <w:proofErr w:type="spellStart"/>
      <w:r w:rsidR="00A3039F" w:rsidRPr="008C78FC">
        <w:rPr>
          <w:szCs w:val="24"/>
          <w:lang w:val="hr-HR"/>
        </w:rPr>
        <w:t>određeni</w:t>
      </w:r>
      <w:r w:rsidR="00472F33" w:rsidRPr="008C78FC">
        <w:rPr>
          <w:szCs w:val="24"/>
          <w:lang w:val="hr-HR"/>
        </w:rPr>
        <w:t>kavzi</w:t>
      </w:r>
      <w:proofErr w:type="spellEnd"/>
      <w:r w:rsidR="00472F33" w:rsidRPr="008C78FC">
        <w:rPr>
          <w:szCs w:val="24"/>
          <w:lang w:val="hr-HR"/>
        </w:rPr>
        <w:t xml:space="preserve">-javni karakter poduzetnika? </w:t>
      </w:r>
    </w:p>
    <w:p w:rsidR="004A64F2" w:rsidRPr="008C78FC" w:rsidRDefault="006D66D9" w:rsidP="00472F33">
      <w:pPr>
        <w:spacing w:line="480" w:lineRule="auto"/>
        <w:ind w:firstLine="708"/>
        <w:rPr>
          <w:szCs w:val="24"/>
          <w:lang w:val="hr-HR"/>
        </w:rPr>
      </w:pPr>
      <w:r w:rsidRPr="008C78FC">
        <w:rPr>
          <w:szCs w:val="24"/>
          <w:lang w:val="hr-HR"/>
        </w:rPr>
        <w:t xml:space="preserve">Sud je potvrdio primjenu </w:t>
      </w:r>
      <w:proofErr w:type="spellStart"/>
      <w:r w:rsidRPr="008C78FC">
        <w:rPr>
          <w:i/>
          <w:szCs w:val="24"/>
          <w:lang w:val="hr-HR"/>
        </w:rPr>
        <w:t>Wouters</w:t>
      </w:r>
      <w:proofErr w:type="spellEnd"/>
      <w:r w:rsidRPr="008C78FC">
        <w:rPr>
          <w:i/>
          <w:szCs w:val="24"/>
          <w:lang w:val="hr-HR"/>
        </w:rPr>
        <w:t xml:space="preserve"> pravila </w:t>
      </w:r>
      <w:r w:rsidRPr="008C78FC">
        <w:rPr>
          <w:szCs w:val="24"/>
          <w:lang w:val="hr-HR"/>
        </w:rPr>
        <w:t xml:space="preserve"> u novim predmetima </w:t>
      </w:r>
      <w:proofErr w:type="spellStart"/>
      <w:r w:rsidRPr="008C78FC">
        <w:rPr>
          <w:szCs w:val="24"/>
          <w:lang w:val="hr-HR"/>
        </w:rPr>
        <w:t>OrdodosTecnicosOficals</w:t>
      </w:r>
      <w:proofErr w:type="spellEnd"/>
      <w:r w:rsidRPr="008C78FC">
        <w:rPr>
          <w:szCs w:val="24"/>
          <w:lang w:val="hr-HR"/>
        </w:rPr>
        <w:t xml:space="preserve"> de </w:t>
      </w:r>
      <w:proofErr w:type="spellStart"/>
      <w:r w:rsidRPr="008C78FC">
        <w:rPr>
          <w:szCs w:val="24"/>
          <w:lang w:val="hr-HR"/>
        </w:rPr>
        <w:t>Contas</w:t>
      </w:r>
      <w:proofErr w:type="spellEnd"/>
      <w:r w:rsidRPr="008C78FC">
        <w:rPr>
          <w:rStyle w:val="Referencafusnote"/>
          <w:szCs w:val="24"/>
          <w:lang w:val="hr-HR"/>
        </w:rPr>
        <w:footnoteReference w:id="79"/>
      </w:r>
      <w:r w:rsidR="001940CB" w:rsidRPr="008C78FC">
        <w:rPr>
          <w:szCs w:val="24"/>
          <w:lang w:val="hr-HR"/>
        </w:rPr>
        <w:t xml:space="preserve">i </w:t>
      </w:r>
      <w:proofErr w:type="spellStart"/>
      <w:r w:rsidR="001940CB" w:rsidRPr="008C78FC">
        <w:rPr>
          <w:rStyle w:val="affairetitle"/>
          <w:rFonts w:eastAsiaTheme="majorEastAsia"/>
          <w:lang w:val="hr-HR"/>
        </w:rPr>
        <w:t>Consiglio</w:t>
      </w:r>
      <w:proofErr w:type="spellEnd"/>
      <w:r w:rsidR="001940CB" w:rsidRPr="008C78FC">
        <w:rPr>
          <w:rStyle w:val="affairetitle"/>
          <w:rFonts w:eastAsiaTheme="majorEastAsia"/>
          <w:lang w:val="hr-HR"/>
        </w:rPr>
        <w:t xml:space="preserve"> </w:t>
      </w:r>
      <w:proofErr w:type="spellStart"/>
      <w:r w:rsidR="001940CB" w:rsidRPr="008C78FC">
        <w:rPr>
          <w:rStyle w:val="affairetitle"/>
          <w:rFonts w:eastAsiaTheme="majorEastAsia"/>
          <w:lang w:val="hr-HR"/>
        </w:rPr>
        <w:t>nazionale</w:t>
      </w:r>
      <w:proofErr w:type="spellEnd"/>
      <w:r w:rsidR="001940CB" w:rsidRPr="008C78FC">
        <w:rPr>
          <w:rStyle w:val="affairetitle"/>
          <w:rFonts w:eastAsiaTheme="majorEastAsia"/>
          <w:lang w:val="hr-HR"/>
        </w:rPr>
        <w:t xml:space="preserve"> </w:t>
      </w:r>
      <w:proofErr w:type="spellStart"/>
      <w:r w:rsidR="001940CB" w:rsidRPr="008C78FC">
        <w:rPr>
          <w:rStyle w:val="affairetitle"/>
          <w:rFonts w:eastAsiaTheme="majorEastAsia"/>
          <w:lang w:val="hr-HR"/>
        </w:rPr>
        <w:t>dei</w:t>
      </w:r>
      <w:proofErr w:type="spellEnd"/>
      <w:r w:rsidR="001940CB" w:rsidRPr="008C78FC">
        <w:rPr>
          <w:rStyle w:val="affairetitle"/>
          <w:rFonts w:eastAsiaTheme="majorEastAsia"/>
          <w:lang w:val="hr-HR"/>
        </w:rPr>
        <w:t xml:space="preserve"> </w:t>
      </w:r>
      <w:proofErr w:type="spellStart"/>
      <w:r w:rsidR="001940CB" w:rsidRPr="008C78FC">
        <w:rPr>
          <w:rStyle w:val="affairetitle"/>
          <w:rFonts w:eastAsiaTheme="majorEastAsia"/>
          <w:lang w:val="hr-HR"/>
        </w:rPr>
        <w:t>geologii</w:t>
      </w:r>
      <w:proofErr w:type="spellEnd"/>
      <w:r w:rsidR="001940CB" w:rsidRPr="008C78FC">
        <w:rPr>
          <w:rStyle w:val="affairetitle"/>
          <w:rFonts w:eastAsiaTheme="majorEastAsia"/>
          <w:lang w:val="hr-HR"/>
        </w:rPr>
        <w:t xml:space="preserve"> </w:t>
      </w:r>
      <w:proofErr w:type="spellStart"/>
      <w:r w:rsidR="001940CB" w:rsidRPr="008C78FC">
        <w:rPr>
          <w:rStyle w:val="affairetitle"/>
          <w:rFonts w:eastAsiaTheme="majorEastAsia"/>
          <w:lang w:val="hr-HR"/>
        </w:rPr>
        <w:t>Autorità</w:t>
      </w:r>
      <w:proofErr w:type="spellEnd"/>
      <w:r w:rsidR="001940CB" w:rsidRPr="008C78FC">
        <w:rPr>
          <w:rStyle w:val="affairetitle"/>
          <w:rFonts w:eastAsiaTheme="majorEastAsia"/>
          <w:lang w:val="hr-HR"/>
        </w:rPr>
        <w:t xml:space="preserve"> garante </w:t>
      </w:r>
      <w:proofErr w:type="spellStart"/>
      <w:r w:rsidR="001940CB" w:rsidRPr="008C78FC">
        <w:rPr>
          <w:rStyle w:val="affairetitle"/>
          <w:rFonts w:eastAsiaTheme="majorEastAsia"/>
          <w:lang w:val="hr-HR"/>
        </w:rPr>
        <w:lastRenderedPageBreak/>
        <w:t>della</w:t>
      </w:r>
      <w:proofErr w:type="spellEnd"/>
      <w:r w:rsidR="001940CB" w:rsidRPr="008C78FC">
        <w:rPr>
          <w:rStyle w:val="Referencafusnote"/>
          <w:szCs w:val="24"/>
          <w:lang w:val="hr-HR"/>
        </w:rPr>
        <w:footnoteReference w:id="80"/>
      </w:r>
      <w:r w:rsidR="001940CB" w:rsidRPr="008C78FC">
        <w:rPr>
          <w:rStyle w:val="affairetitle"/>
          <w:rFonts w:eastAsiaTheme="majorEastAsia"/>
          <w:lang w:val="hr-HR"/>
        </w:rPr>
        <w:t xml:space="preserve"> u oba</w:t>
      </w:r>
      <w:r w:rsidR="008E4E2F" w:rsidRPr="008C78FC">
        <w:rPr>
          <w:rStyle w:val="affairetitle"/>
          <w:rFonts w:eastAsiaTheme="majorEastAsia"/>
          <w:lang w:val="hr-HR"/>
        </w:rPr>
        <w:t xml:space="preserve"> </w:t>
      </w:r>
      <w:r w:rsidR="001940CB" w:rsidRPr="008C78FC">
        <w:rPr>
          <w:rStyle w:val="affairetitle"/>
          <w:rFonts w:eastAsiaTheme="majorEastAsia"/>
          <w:lang w:val="hr-HR"/>
        </w:rPr>
        <w:t>slučaja se radio o općim</w:t>
      </w:r>
      <w:r w:rsidR="008E4E2F" w:rsidRPr="008C78FC">
        <w:rPr>
          <w:rStyle w:val="affairetitle"/>
          <w:rFonts w:eastAsiaTheme="majorEastAsia"/>
          <w:lang w:val="hr-HR"/>
        </w:rPr>
        <w:t xml:space="preserve"> </w:t>
      </w:r>
      <w:r w:rsidR="001940CB" w:rsidRPr="008C78FC">
        <w:rPr>
          <w:rStyle w:val="affairetitle"/>
          <w:rFonts w:eastAsiaTheme="majorEastAsia"/>
          <w:lang w:val="hr-HR"/>
        </w:rPr>
        <w:t>pravilima</w:t>
      </w:r>
      <w:r w:rsidR="008E4E2F" w:rsidRPr="008C78FC">
        <w:rPr>
          <w:rStyle w:val="affairetitle"/>
          <w:rFonts w:eastAsiaTheme="majorEastAsia"/>
          <w:lang w:val="hr-HR"/>
        </w:rPr>
        <w:t xml:space="preserve"> </w:t>
      </w:r>
      <w:r w:rsidR="001940CB" w:rsidRPr="008C78FC">
        <w:rPr>
          <w:rStyle w:val="affairetitle"/>
          <w:rFonts w:eastAsiaTheme="majorEastAsia"/>
          <w:lang w:val="hr-HR"/>
        </w:rPr>
        <w:t>profesionalnih</w:t>
      </w:r>
      <w:r w:rsidR="008E4E2F" w:rsidRPr="008C78FC">
        <w:rPr>
          <w:rStyle w:val="affairetitle"/>
          <w:rFonts w:eastAsiaTheme="majorEastAsia"/>
          <w:lang w:val="hr-HR"/>
        </w:rPr>
        <w:t xml:space="preserve"> </w:t>
      </w:r>
      <w:r w:rsidR="001940CB" w:rsidRPr="008C78FC">
        <w:rPr>
          <w:rStyle w:val="affairetitle"/>
          <w:rFonts w:eastAsiaTheme="majorEastAsia"/>
          <w:lang w:val="hr-HR"/>
        </w:rPr>
        <w:t>udruga. U</w:t>
      </w:r>
      <w:r w:rsidR="008E4E2F" w:rsidRPr="008C78FC">
        <w:rPr>
          <w:rStyle w:val="affairetitle"/>
          <w:rFonts w:eastAsiaTheme="majorEastAsia"/>
          <w:lang w:val="hr-HR"/>
        </w:rPr>
        <w:t xml:space="preserve"> </w:t>
      </w:r>
      <w:r w:rsidR="001940CB" w:rsidRPr="008C78FC">
        <w:rPr>
          <w:rStyle w:val="affairetitle"/>
          <w:rFonts w:eastAsiaTheme="majorEastAsia"/>
          <w:lang w:val="hr-HR"/>
        </w:rPr>
        <w:t>prv</w:t>
      </w:r>
      <w:r w:rsidR="008E4E2F" w:rsidRPr="008C78FC">
        <w:rPr>
          <w:rStyle w:val="affairetitle"/>
          <w:rFonts w:eastAsiaTheme="majorEastAsia"/>
          <w:lang w:val="hr-HR"/>
        </w:rPr>
        <w:t xml:space="preserve">om </w:t>
      </w:r>
      <w:r w:rsidR="00A3039F" w:rsidRPr="008C78FC">
        <w:rPr>
          <w:rStyle w:val="affairetitle"/>
          <w:rFonts w:eastAsiaTheme="majorEastAsia"/>
          <w:lang w:val="hr-HR"/>
        </w:rPr>
        <w:t>slučaju</w:t>
      </w:r>
      <w:r w:rsidR="008E4E2F" w:rsidRPr="008C78FC">
        <w:rPr>
          <w:rStyle w:val="affairetitle"/>
          <w:rFonts w:eastAsiaTheme="majorEastAsia"/>
          <w:lang w:val="hr-HR"/>
        </w:rPr>
        <w:t xml:space="preserve"> </w:t>
      </w:r>
      <w:r w:rsidR="00A3039F" w:rsidRPr="008C78FC">
        <w:rPr>
          <w:rStyle w:val="affairetitle"/>
          <w:rFonts w:eastAsiaTheme="majorEastAsia"/>
          <w:lang w:val="hr-HR"/>
        </w:rPr>
        <w:t>udruženje</w:t>
      </w:r>
      <w:r w:rsidR="00D2224D" w:rsidRPr="008C78FC">
        <w:rPr>
          <w:rStyle w:val="affairetitle"/>
          <w:rFonts w:eastAsiaTheme="majorEastAsia"/>
          <w:lang w:val="hr-HR"/>
        </w:rPr>
        <w:t xml:space="preserve"> </w:t>
      </w:r>
      <w:r w:rsidR="00A3039F" w:rsidRPr="008C78FC">
        <w:rPr>
          <w:rStyle w:val="affairetitle"/>
          <w:rFonts w:eastAsiaTheme="majorEastAsia"/>
          <w:lang w:val="hr-HR"/>
        </w:rPr>
        <w:t>knjigovođa</w:t>
      </w:r>
      <w:r w:rsidR="00A3039F" w:rsidRPr="008C78FC">
        <w:rPr>
          <w:szCs w:val="24"/>
          <w:lang w:val="hr-HR"/>
        </w:rPr>
        <w:t xml:space="preserve"> je propisalo </w:t>
      </w:r>
      <w:r w:rsidR="00D2224D" w:rsidRPr="008C78FC">
        <w:rPr>
          <w:szCs w:val="24"/>
          <w:lang w:val="hr-HR"/>
        </w:rPr>
        <w:t>da je za njihove</w:t>
      </w:r>
      <w:r w:rsidRPr="008C78FC">
        <w:rPr>
          <w:szCs w:val="24"/>
          <w:lang w:val="hr-HR"/>
        </w:rPr>
        <w:t xml:space="preserve"> članove nužno daljnje obrazovan</w:t>
      </w:r>
      <w:r w:rsidR="00D2224D" w:rsidRPr="008C78FC">
        <w:rPr>
          <w:szCs w:val="24"/>
          <w:lang w:val="hr-HR"/>
        </w:rPr>
        <w:t>je. No, da bi se ostvarene kvali</w:t>
      </w:r>
      <w:r w:rsidRPr="008C78FC">
        <w:rPr>
          <w:szCs w:val="24"/>
          <w:lang w:val="hr-HR"/>
        </w:rPr>
        <w:t>fikacije priznale nužno je d</w:t>
      </w:r>
      <w:r w:rsidR="00D2224D" w:rsidRPr="008C78FC">
        <w:rPr>
          <w:szCs w:val="24"/>
          <w:lang w:val="hr-HR"/>
        </w:rPr>
        <w:t>a su se organizirane od strane K</w:t>
      </w:r>
      <w:r w:rsidRPr="008C78FC">
        <w:rPr>
          <w:szCs w:val="24"/>
          <w:lang w:val="hr-HR"/>
        </w:rPr>
        <w:t>omore</w:t>
      </w:r>
      <w:r w:rsidR="001940CB" w:rsidRPr="008C78FC">
        <w:rPr>
          <w:szCs w:val="24"/>
          <w:lang w:val="hr-HR"/>
        </w:rPr>
        <w:t xml:space="preserve">. </w:t>
      </w:r>
      <w:r w:rsidR="00174C08">
        <w:rPr>
          <w:szCs w:val="24"/>
          <w:lang w:val="hr-HR"/>
        </w:rPr>
        <w:t xml:space="preserve">U </w:t>
      </w:r>
      <w:r w:rsidR="00174C08">
        <w:rPr>
          <w:rStyle w:val="affairetitle"/>
          <w:rFonts w:eastAsiaTheme="majorEastAsia"/>
          <w:i/>
          <w:lang w:val="hr-HR"/>
        </w:rPr>
        <w:t xml:space="preserve"> </w:t>
      </w:r>
      <w:proofErr w:type="spellStart"/>
      <w:r w:rsidR="00174C08" w:rsidRPr="008C78FC">
        <w:rPr>
          <w:rStyle w:val="affairetitle"/>
          <w:rFonts w:eastAsiaTheme="majorEastAsia"/>
          <w:lang w:val="hr-HR"/>
        </w:rPr>
        <w:t>Consiglio</w:t>
      </w:r>
      <w:proofErr w:type="spellEnd"/>
      <w:r w:rsidR="00174C08" w:rsidRPr="008C78FC">
        <w:rPr>
          <w:rStyle w:val="affairetitle"/>
          <w:rFonts w:eastAsiaTheme="majorEastAsia"/>
          <w:lang w:val="hr-HR"/>
        </w:rPr>
        <w:t xml:space="preserve"> </w:t>
      </w:r>
      <w:proofErr w:type="spellStart"/>
      <w:r w:rsidR="00174C08" w:rsidRPr="008C78FC">
        <w:rPr>
          <w:rStyle w:val="affairetitle"/>
          <w:rFonts w:eastAsiaTheme="majorEastAsia"/>
          <w:lang w:val="hr-HR"/>
        </w:rPr>
        <w:t>nazionale</w:t>
      </w:r>
      <w:proofErr w:type="spellEnd"/>
      <w:r w:rsidR="00174C08" w:rsidRPr="008C78FC">
        <w:rPr>
          <w:rStyle w:val="affairetitle"/>
          <w:rFonts w:eastAsiaTheme="majorEastAsia"/>
          <w:lang w:val="hr-HR"/>
        </w:rPr>
        <w:t xml:space="preserve"> </w:t>
      </w:r>
      <w:proofErr w:type="spellStart"/>
      <w:r w:rsidR="00174C08" w:rsidRPr="008C78FC">
        <w:rPr>
          <w:rStyle w:val="affairetitle"/>
          <w:rFonts w:eastAsiaTheme="majorEastAsia"/>
          <w:lang w:val="hr-HR"/>
        </w:rPr>
        <w:t>dei</w:t>
      </w:r>
      <w:proofErr w:type="spellEnd"/>
      <w:r w:rsidR="00174C08" w:rsidRPr="008C78FC">
        <w:rPr>
          <w:rStyle w:val="affairetitle"/>
          <w:rFonts w:eastAsiaTheme="majorEastAsia"/>
          <w:lang w:val="hr-HR"/>
        </w:rPr>
        <w:t xml:space="preserve"> </w:t>
      </w:r>
      <w:proofErr w:type="spellStart"/>
      <w:r w:rsidR="00174C08" w:rsidRPr="008C78FC">
        <w:rPr>
          <w:rStyle w:val="affairetitle"/>
          <w:rFonts w:eastAsiaTheme="majorEastAsia"/>
          <w:lang w:val="hr-HR"/>
        </w:rPr>
        <w:t>geologii</w:t>
      </w:r>
      <w:proofErr w:type="spellEnd"/>
      <w:r w:rsidR="00174C08">
        <w:rPr>
          <w:rStyle w:val="affairetitle"/>
          <w:rFonts w:eastAsiaTheme="majorEastAsia"/>
          <w:lang w:val="hr-HR"/>
        </w:rPr>
        <w:t xml:space="preserve"> Sud je razmatrao pravilo koje propisuje kriterije za izračun naknade za obavljeni posao. Uz kriterije poput složenosti i obujma posla, geolog mora uzeti u obzir i potrebu zaštite dostojanstva profesije. Takvo pravilo </w:t>
      </w:r>
      <w:r w:rsidR="00174C08">
        <w:rPr>
          <w:rStyle w:val="affairetitle"/>
          <w:rFonts w:eastAsiaTheme="majorEastAsia"/>
          <w:i/>
          <w:lang w:val="hr-HR"/>
        </w:rPr>
        <w:t xml:space="preserve">de </w:t>
      </w:r>
      <w:proofErr w:type="spellStart"/>
      <w:r w:rsidR="00174C08">
        <w:rPr>
          <w:rStyle w:val="affairetitle"/>
          <w:rFonts w:eastAsiaTheme="majorEastAsia"/>
          <w:i/>
          <w:lang w:val="hr-HR"/>
        </w:rPr>
        <w:t>facto</w:t>
      </w:r>
      <w:proofErr w:type="spellEnd"/>
      <w:r w:rsidR="00174C08">
        <w:rPr>
          <w:rStyle w:val="affairetitle"/>
          <w:rFonts w:eastAsiaTheme="majorEastAsia"/>
          <w:i/>
          <w:lang w:val="hr-HR"/>
        </w:rPr>
        <w:t xml:space="preserve"> </w:t>
      </w:r>
      <w:r w:rsidR="00174C08">
        <w:rPr>
          <w:rStyle w:val="affairetitle"/>
          <w:rFonts w:eastAsiaTheme="majorEastAsia"/>
          <w:lang w:val="hr-HR"/>
        </w:rPr>
        <w:t xml:space="preserve">ima učinak propisivanja minimalne cijene. Naime, ukoliko je obračunata naknada ispod određene minimalne razine, odgovorni poduzetnik može biti kažnjen od strane udruge. Prema navodima udruge, takvo pravilo je nužno kako bi se jamčila kvaliteta usluge krajnjem korisniku. Sud u </w:t>
      </w:r>
      <w:proofErr w:type="spellStart"/>
      <w:r w:rsidR="00174C08">
        <w:rPr>
          <w:rStyle w:val="affairetitle"/>
          <w:rFonts w:eastAsiaTheme="majorEastAsia"/>
          <w:lang w:val="hr-HR"/>
        </w:rPr>
        <w:t>prejudicijalnom</w:t>
      </w:r>
      <w:proofErr w:type="spellEnd"/>
      <w:r w:rsidR="00174C08">
        <w:rPr>
          <w:rStyle w:val="affairetitle"/>
          <w:rFonts w:eastAsiaTheme="majorEastAsia"/>
          <w:lang w:val="hr-HR"/>
        </w:rPr>
        <w:t xml:space="preserve"> postupku nije odlučio o opravdanosti takvog ograničenja tržišnog natjecanja, ali ton presude upućuju nacionalni sud da ne može </w:t>
      </w:r>
      <w:r w:rsidR="00174C08" w:rsidRPr="00174C08">
        <w:rPr>
          <w:rStyle w:val="affairetitle"/>
          <w:rFonts w:eastAsiaTheme="majorEastAsia"/>
          <w:i/>
          <w:lang w:val="hr-HR"/>
        </w:rPr>
        <w:t xml:space="preserve">prima </w:t>
      </w:r>
      <w:proofErr w:type="spellStart"/>
      <w:r w:rsidR="00174C08" w:rsidRPr="00174C08">
        <w:rPr>
          <w:rStyle w:val="affairetitle"/>
          <w:rFonts w:eastAsiaTheme="majorEastAsia"/>
          <w:i/>
          <w:lang w:val="hr-HR"/>
        </w:rPr>
        <w:t>facie</w:t>
      </w:r>
      <w:proofErr w:type="spellEnd"/>
      <w:r w:rsidR="00174C08">
        <w:rPr>
          <w:rStyle w:val="affairetitle"/>
          <w:rFonts w:eastAsiaTheme="majorEastAsia"/>
          <w:lang w:val="hr-HR"/>
        </w:rPr>
        <w:t xml:space="preserve"> odbaciti takvo opravdanje </w:t>
      </w:r>
      <w:r w:rsidR="004A64F2" w:rsidRPr="008C78FC">
        <w:rPr>
          <w:szCs w:val="24"/>
          <w:lang w:val="hr-HR"/>
        </w:rPr>
        <w:t xml:space="preserve">U svim analiziranim slučajevima radilo se o </w:t>
      </w:r>
      <w:proofErr w:type="spellStart"/>
      <w:r w:rsidR="004A64F2" w:rsidRPr="008C78FC">
        <w:rPr>
          <w:szCs w:val="24"/>
          <w:lang w:val="hr-HR"/>
        </w:rPr>
        <w:t>deontološkim</w:t>
      </w:r>
      <w:proofErr w:type="spellEnd"/>
      <w:r w:rsidR="004A64F2" w:rsidRPr="008C78FC">
        <w:rPr>
          <w:szCs w:val="24"/>
          <w:lang w:val="hr-HR"/>
        </w:rPr>
        <w:t xml:space="preserve"> pravilima profesionalnih regulacija. No, nužno se postavlja pitanje da li se isto razumij</w:t>
      </w:r>
      <w:r w:rsidR="00E2629F" w:rsidRPr="008C78FC">
        <w:rPr>
          <w:szCs w:val="24"/>
          <w:lang w:val="hr-HR"/>
        </w:rPr>
        <w:t>evanje može primijeniti i na čis</w:t>
      </w:r>
      <w:r w:rsidR="004A64F2" w:rsidRPr="008C78FC">
        <w:rPr>
          <w:szCs w:val="24"/>
          <w:lang w:val="hr-HR"/>
        </w:rPr>
        <w:t xml:space="preserve">to privatne radnje poduzetnika? </w:t>
      </w:r>
    </w:p>
    <w:p w:rsidR="00EE7B5C" w:rsidRPr="008C78FC" w:rsidRDefault="00A436CE" w:rsidP="00A3039F">
      <w:pPr>
        <w:pStyle w:val="Naslov4"/>
        <w:rPr>
          <w:lang w:val="hr-HR"/>
        </w:rPr>
      </w:pPr>
      <w:r w:rsidRPr="008C78FC">
        <w:rPr>
          <w:lang w:val="hr-HR"/>
        </w:rPr>
        <w:t>Privatna poduzeća</w:t>
      </w:r>
    </w:p>
    <w:p w:rsidR="00F54D7A" w:rsidRDefault="00F54D7A" w:rsidP="002E1E84">
      <w:pPr>
        <w:spacing w:line="480" w:lineRule="auto"/>
        <w:ind w:firstLine="708"/>
        <w:rPr>
          <w:szCs w:val="24"/>
          <w:lang w:val="hr-HR"/>
        </w:rPr>
      </w:pPr>
    </w:p>
    <w:p w:rsidR="00250117" w:rsidRPr="008C78FC" w:rsidRDefault="00250117" w:rsidP="002E1E84">
      <w:pPr>
        <w:spacing w:line="480" w:lineRule="auto"/>
        <w:ind w:firstLine="708"/>
        <w:rPr>
          <w:szCs w:val="24"/>
          <w:lang w:val="hr-HR"/>
        </w:rPr>
      </w:pPr>
      <w:r w:rsidRPr="008C78FC">
        <w:rPr>
          <w:szCs w:val="24"/>
          <w:lang w:val="hr-HR"/>
        </w:rPr>
        <w:t xml:space="preserve">Središnje pitanje je da li u potpunosti privatna aktivnost poduzetnika. </w:t>
      </w:r>
      <w:r w:rsidR="002E1E84" w:rsidRPr="008C78FC">
        <w:rPr>
          <w:szCs w:val="24"/>
          <w:lang w:val="hr-HR"/>
        </w:rPr>
        <w:t xml:space="preserve">Može izbjeći zabranu iz članka 101 </w:t>
      </w:r>
      <w:proofErr w:type="spellStart"/>
      <w:r w:rsidR="002E1E84" w:rsidRPr="008C78FC">
        <w:rPr>
          <w:szCs w:val="24"/>
          <w:lang w:val="hr-HR"/>
        </w:rPr>
        <w:t>UFEU</w:t>
      </w:r>
      <w:proofErr w:type="spellEnd"/>
      <w:r w:rsidR="002E1E84" w:rsidRPr="008C78FC">
        <w:rPr>
          <w:szCs w:val="24"/>
          <w:lang w:val="hr-HR"/>
        </w:rPr>
        <w:t xml:space="preserve"> pozivajući se da je protu-tržni ugovor objektivno nužan za ostvarenje nekog cilja od javnog interesa.</w:t>
      </w:r>
    </w:p>
    <w:p w:rsidR="006A1789" w:rsidRPr="008C78FC" w:rsidRDefault="00E605C9" w:rsidP="00E605C9">
      <w:pPr>
        <w:spacing w:line="480" w:lineRule="auto"/>
        <w:ind w:firstLine="708"/>
        <w:rPr>
          <w:szCs w:val="24"/>
          <w:lang w:val="hr-HR"/>
        </w:rPr>
      </w:pPr>
      <w:r>
        <w:rPr>
          <w:szCs w:val="24"/>
          <w:lang w:val="hr-HR"/>
        </w:rPr>
        <w:t xml:space="preserve">Da debata o ulozi ciljeva od javnog interesa u primjeni članka 101 </w:t>
      </w:r>
      <w:proofErr w:type="spellStart"/>
      <w:r>
        <w:rPr>
          <w:szCs w:val="24"/>
          <w:lang w:val="hr-HR"/>
        </w:rPr>
        <w:t>UFEU</w:t>
      </w:r>
      <w:proofErr w:type="spellEnd"/>
      <w:r>
        <w:rPr>
          <w:szCs w:val="24"/>
          <w:lang w:val="hr-HR"/>
        </w:rPr>
        <w:t xml:space="preserve"> nije tek hipotetsko pitanje govori i primjer iz Velike Britanije, često citiran u literaturi.  Pretjerana</w:t>
      </w:r>
      <w:r w:rsidR="004C1033">
        <w:rPr>
          <w:szCs w:val="24"/>
          <w:lang w:val="hr-HR"/>
        </w:rPr>
        <w:t xml:space="preserve"> potrošnja alkohola</w:t>
      </w:r>
      <w:r>
        <w:rPr>
          <w:szCs w:val="24"/>
          <w:lang w:val="hr-HR"/>
        </w:rPr>
        <w:t xml:space="preserve"> i opijanje mladih</w:t>
      </w:r>
      <w:r w:rsidR="004C1033">
        <w:rPr>
          <w:szCs w:val="24"/>
          <w:lang w:val="hr-HR"/>
        </w:rPr>
        <w:t xml:space="preserve"> je jedan od </w:t>
      </w:r>
      <w:r>
        <w:rPr>
          <w:szCs w:val="24"/>
          <w:lang w:val="hr-HR"/>
        </w:rPr>
        <w:t>značajnih</w:t>
      </w:r>
      <w:r w:rsidR="004C1033">
        <w:rPr>
          <w:szCs w:val="24"/>
          <w:lang w:val="hr-HR"/>
        </w:rPr>
        <w:t xml:space="preserve"> društvenih problema u Velikoj </w:t>
      </w:r>
      <w:r w:rsidR="004C1033">
        <w:rPr>
          <w:szCs w:val="24"/>
          <w:lang w:val="hr-HR"/>
        </w:rPr>
        <w:lastRenderedPageBreak/>
        <w:t xml:space="preserve">Britaniji. Uvriježeno je stajalište da je takvoj </w:t>
      </w:r>
      <w:r w:rsidR="009B6322">
        <w:rPr>
          <w:szCs w:val="24"/>
          <w:lang w:val="hr-HR"/>
        </w:rPr>
        <w:t>situaciji pridonijelo i konstantno</w:t>
      </w:r>
      <w:r w:rsidR="004C1033">
        <w:rPr>
          <w:szCs w:val="24"/>
          <w:lang w:val="hr-HR"/>
        </w:rPr>
        <w:t xml:space="preserve"> snižavanje cijena alkohola kao posljedica oštre konkurencije među velikim trgovačkim lancima. Niz studija dolazi do zaključka da </w:t>
      </w:r>
      <w:r w:rsidR="00530197">
        <w:rPr>
          <w:szCs w:val="24"/>
          <w:lang w:val="hr-HR"/>
        </w:rPr>
        <w:t>bi povišenje cijena</w:t>
      </w:r>
      <w:r w:rsidR="009B6322">
        <w:rPr>
          <w:szCs w:val="24"/>
          <w:lang w:val="hr-HR"/>
        </w:rPr>
        <w:t>,</w:t>
      </w:r>
      <w:r w:rsidR="00530197">
        <w:rPr>
          <w:szCs w:val="24"/>
          <w:lang w:val="hr-HR"/>
        </w:rPr>
        <w:t xml:space="preserve"> određivanjem minimalne cijene po količinskoj mjeri alkohola</w:t>
      </w:r>
      <w:r w:rsidR="009B6322">
        <w:rPr>
          <w:szCs w:val="24"/>
          <w:lang w:val="hr-HR"/>
        </w:rPr>
        <w:t>,</w:t>
      </w:r>
      <w:r w:rsidR="00530197">
        <w:rPr>
          <w:szCs w:val="24"/>
          <w:lang w:val="hr-HR"/>
        </w:rPr>
        <w:t xml:space="preserve"> moglo</w:t>
      </w:r>
      <w:r w:rsidR="00530197" w:rsidRPr="008C78FC">
        <w:rPr>
          <w:szCs w:val="24"/>
          <w:lang w:val="hr-HR"/>
        </w:rPr>
        <w:t xml:space="preserve"> imati i značajan pozitivan utjecaj na javno zdravlje, smanjujući potrošnju alkohola, osobito kod mlađih osoba</w:t>
      </w:r>
      <w:r w:rsidR="00530197" w:rsidRPr="008C78FC">
        <w:rPr>
          <w:rStyle w:val="Referencafusnote"/>
          <w:szCs w:val="24"/>
          <w:lang w:val="hr-HR"/>
        </w:rPr>
        <w:footnoteReference w:id="81"/>
      </w:r>
      <w:r w:rsidR="00530197" w:rsidRPr="008C78FC">
        <w:rPr>
          <w:szCs w:val="24"/>
          <w:lang w:val="hr-HR"/>
        </w:rPr>
        <w:t xml:space="preserve">. </w:t>
      </w:r>
      <w:r w:rsidR="00530197">
        <w:rPr>
          <w:szCs w:val="24"/>
          <w:lang w:val="hr-HR"/>
        </w:rPr>
        <w:t xml:space="preserve">Država je implementirala određene mjere, ponajprije povećavajući porez na alkohol, ali se smatra da su takve mjere nedovoljne i da je nužna suradnja privatnog sektora. </w:t>
      </w:r>
      <w:r w:rsidR="004C1033">
        <w:rPr>
          <w:szCs w:val="24"/>
          <w:lang w:val="hr-HR"/>
        </w:rPr>
        <w:t xml:space="preserve">Tesco, jedan od najvećih trgovačkih lanaca u Velikoj Britaniji je izrazio spremnost </w:t>
      </w:r>
      <w:r w:rsidR="00530197">
        <w:rPr>
          <w:szCs w:val="24"/>
          <w:lang w:val="hr-HR"/>
        </w:rPr>
        <w:t>povisiti</w:t>
      </w:r>
      <w:r w:rsidR="004C1033">
        <w:rPr>
          <w:szCs w:val="24"/>
          <w:lang w:val="hr-HR"/>
        </w:rPr>
        <w:t xml:space="preserve"> cijene alkohola, ukoliko isto učin</w:t>
      </w:r>
      <w:r w:rsidR="00530197">
        <w:rPr>
          <w:szCs w:val="24"/>
          <w:lang w:val="hr-HR"/>
        </w:rPr>
        <w:t>e njegovi tržišni takmaci</w:t>
      </w:r>
      <w:r w:rsidR="009B6322">
        <w:rPr>
          <w:rStyle w:val="Referencafusnote"/>
          <w:szCs w:val="24"/>
          <w:lang w:val="hr-HR"/>
        </w:rPr>
        <w:footnoteReference w:id="82"/>
      </w:r>
      <w:r w:rsidR="009B6322">
        <w:rPr>
          <w:szCs w:val="24"/>
          <w:lang w:val="hr-HR"/>
        </w:rPr>
        <w:t>.</w:t>
      </w:r>
      <w:r w:rsidR="00530197">
        <w:rPr>
          <w:szCs w:val="24"/>
          <w:lang w:val="hr-HR"/>
        </w:rPr>
        <w:t xml:space="preserve"> Kako bi pravo tržišnog natjecanja tretiralo sporazum </w:t>
      </w:r>
      <w:r w:rsidR="003D5E00" w:rsidRPr="008C78FC">
        <w:rPr>
          <w:szCs w:val="24"/>
          <w:lang w:val="hr-HR"/>
        </w:rPr>
        <w:t>kojim bi se povisila cijena alkoholnih pića</w:t>
      </w:r>
      <w:r w:rsidR="00530197">
        <w:rPr>
          <w:szCs w:val="24"/>
          <w:lang w:val="hr-HR"/>
        </w:rPr>
        <w:t>, tobože,</w:t>
      </w:r>
      <w:r w:rsidR="003D5E00" w:rsidRPr="008C78FC">
        <w:rPr>
          <w:szCs w:val="24"/>
          <w:lang w:val="hr-HR"/>
        </w:rPr>
        <w:t xml:space="preserve"> radi zaštite javnog zdravlja. Kao što je već bilo govora, </w:t>
      </w:r>
      <w:r w:rsidR="00F54D7A">
        <w:rPr>
          <w:szCs w:val="24"/>
          <w:lang w:val="hr-HR"/>
        </w:rPr>
        <w:t xml:space="preserve">sporazumi kojima konkurenti dogovaraju </w:t>
      </w:r>
      <w:r w:rsidR="009B6322">
        <w:rPr>
          <w:szCs w:val="24"/>
          <w:lang w:val="hr-HR"/>
        </w:rPr>
        <w:t>cijene je</w:t>
      </w:r>
      <w:r w:rsidR="00F54D7A">
        <w:rPr>
          <w:szCs w:val="24"/>
          <w:lang w:val="hr-HR"/>
        </w:rPr>
        <w:t xml:space="preserve"> očito </w:t>
      </w:r>
      <w:r w:rsidR="006A1789" w:rsidRPr="008C78FC">
        <w:rPr>
          <w:szCs w:val="24"/>
          <w:lang w:val="hr-HR"/>
        </w:rPr>
        <w:t>ograničenje tržišnog</w:t>
      </w:r>
      <w:r w:rsidR="00F54D7A">
        <w:rPr>
          <w:szCs w:val="24"/>
          <w:lang w:val="hr-HR"/>
        </w:rPr>
        <w:t xml:space="preserve"> natjecanja</w:t>
      </w:r>
      <w:r w:rsidR="006A1789" w:rsidRPr="008C78FC">
        <w:rPr>
          <w:szCs w:val="24"/>
          <w:lang w:val="hr-HR"/>
        </w:rPr>
        <w:t xml:space="preserve"> i kao takva su redovito zabranjena</w:t>
      </w:r>
      <w:r w:rsidR="00530197">
        <w:rPr>
          <w:szCs w:val="24"/>
          <w:lang w:val="hr-HR"/>
        </w:rPr>
        <w:t xml:space="preserve">. </w:t>
      </w:r>
      <w:r w:rsidR="009B6322">
        <w:rPr>
          <w:szCs w:val="24"/>
          <w:lang w:val="hr-HR"/>
        </w:rPr>
        <w:t>Međutim</w:t>
      </w:r>
      <w:r w:rsidR="00530197">
        <w:rPr>
          <w:szCs w:val="24"/>
          <w:lang w:val="hr-HR"/>
        </w:rPr>
        <w:t>, kao što smo vidjeli u prethodnom poglavlju, protu-tržni sporazumi koji su inherentni</w:t>
      </w:r>
      <w:r w:rsidR="009B6322">
        <w:rPr>
          <w:szCs w:val="24"/>
          <w:lang w:val="hr-HR"/>
        </w:rPr>
        <w:t xml:space="preserve"> ostvarenju</w:t>
      </w:r>
      <w:r w:rsidR="00530197">
        <w:rPr>
          <w:szCs w:val="24"/>
          <w:lang w:val="hr-HR"/>
        </w:rPr>
        <w:t xml:space="preserve"> nekog legitimnog cilj</w:t>
      </w:r>
      <w:r w:rsidR="009B6322">
        <w:rPr>
          <w:szCs w:val="24"/>
          <w:lang w:val="hr-HR"/>
        </w:rPr>
        <w:t>u</w:t>
      </w:r>
      <w:r w:rsidR="00530197">
        <w:rPr>
          <w:szCs w:val="24"/>
          <w:lang w:val="hr-HR"/>
        </w:rPr>
        <w:t xml:space="preserve"> mogu izbjeći zabranu iz članka 101(1) </w:t>
      </w:r>
      <w:proofErr w:type="spellStart"/>
      <w:r w:rsidR="00530197">
        <w:rPr>
          <w:szCs w:val="24"/>
          <w:lang w:val="hr-HR"/>
        </w:rPr>
        <w:t>UFE</w:t>
      </w:r>
      <w:r w:rsidR="006A1789" w:rsidRPr="008C78FC">
        <w:rPr>
          <w:szCs w:val="24"/>
          <w:lang w:val="hr-HR"/>
        </w:rPr>
        <w:t>U</w:t>
      </w:r>
      <w:proofErr w:type="spellEnd"/>
      <w:r w:rsidR="009B6322">
        <w:rPr>
          <w:szCs w:val="24"/>
          <w:lang w:val="hr-HR"/>
        </w:rPr>
        <w:t>. Sudska praksa na p</w:t>
      </w:r>
      <w:r w:rsidR="006A1789" w:rsidRPr="008C78FC">
        <w:rPr>
          <w:szCs w:val="24"/>
          <w:lang w:val="hr-HR"/>
        </w:rPr>
        <w:t xml:space="preserve">odručju prava </w:t>
      </w:r>
      <w:r w:rsidR="00373ADE" w:rsidRPr="008C78FC">
        <w:rPr>
          <w:szCs w:val="24"/>
          <w:lang w:val="hr-HR"/>
        </w:rPr>
        <w:t>tržišnih</w:t>
      </w:r>
      <w:r w:rsidR="009B6322">
        <w:rPr>
          <w:szCs w:val="24"/>
          <w:lang w:val="hr-HR"/>
        </w:rPr>
        <w:t xml:space="preserve"> sloboda redovito je zaštitu javnog zdravlja prepoznala</w:t>
      </w:r>
      <w:r w:rsidR="006A1789" w:rsidRPr="008C78FC">
        <w:rPr>
          <w:szCs w:val="24"/>
          <w:lang w:val="hr-HR"/>
        </w:rPr>
        <w:t xml:space="preserve"> kao legitiman cilj. Čak štoviše</w:t>
      </w:r>
      <w:r w:rsidR="009B6322">
        <w:rPr>
          <w:szCs w:val="24"/>
          <w:lang w:val="hr-HR"/>
        </w:rPr>
        <w:t>,</w:t>
      </w:r>
      <w:r w:rsidR="006A1789" w:rsidRPr="008C78FC">
        <w:rPr>
          <w:szCs w:val="24"/>
          <w:lang w:val="hr-HR"/>
        </w:rPr>
        <w:t xml:space="preserve"> izričito je priznato u samom tekstu </w:t>
      </w:r>
      <w:proofErr w:type="spellStart"/>
      <w:r w:rsidR="006A1789" w:rsidRPr="008C78FC">
        <w:rPr>
          <w:szCs w:val="24"/>
          <w:lang w:val="hr-HR"/>
        </w:rPr>
        <w:t>UFEU</w:t>
      </w:r>
      <w:proofErr w:type="spellEnd"/>
      <w:r w:rsidR="006A1789" w:rsidRPr="008C78FC">
        <w:rPr>
          <w:szCs w:val="24"/>
          <w:lang w:val="hr-HR"/>
        </w:rPr>
        <w:t xml:space="preserve"> i na njega se država članica može pozivati i kada opravdava i diskriminatornu mjeru. </w:t>
      </w:r>
      <w:r w:rsidR="009B6322">
        <w:rPr>
          <w:szCs w:val="24"/>
          <w:lang w:val="hr-HR"/>
        </w:rPr>
        <w:t>Tesco je odustao od svoje inicijative, smatrajući da bi sporazum među trgovačkim lancima ipak bio problematičan što se tiče pravila tržišnog natjecanja</w:t>
      </w:r>
      <w:r w:rsidR="009B6322">
        <w:rPr>
          <w:rStyle w:val="Referencafusnote"/>
          <w:szCs w:val="24"/>
          <w:lang w:val="hr-HR"/>
        </w:rPr>
        <w:footnoteReference w:id="83"/>
      </w:r>
      <w:r w:rsidR="009B6322">
        <w:rPr>
          <w:szCs w:val="24"/>
          <w:lang w:val="hr-HR"/>
        </w:rPr>
        <w:t xml:space="preserve">. Takav </w:t>
      </w:r>
      <w:r w:rsidR="009B6322">
        <w:rPr>
          <w:szCs w:val="24"/>
          <w:lang w:val="hr-HR"/>
        </w:rPr>
        <w:lastRenderedPageBreak/>
        <w:t>zaključak svakako potvrđuje i novije presude koje svaku suradnju među tržišnim takmacima u pogledu cijene tretiraju kao ograničenje tržišnog natjecanja</w:t>
      </w:r>
      <w:r w:rsidR="00066617">
        <w:rPr>
          <w:rStyle w:val="Referencafusnote"/>
          <w:szCs w:val="24"/>
          <w:lang w:val="hr-HR"/>
        </w:rPr>
        <w:footnoteReference w:id="84"/>
      </w:r>
      <w:r w:rsidR="009B6322">
        <w:rPr>
          <w:szCs w:val="24"/>
          <w:lang w:val="hr-HR"/>
        </w:rPr>
        <w:t>.</w:t>
      </w:r>
    </w:p>
    <w:p w:rsidR="004F2C4E" w:rsidRPr="00851E7F" w:rsidRDefault="004F2C4E" w:rsidP="00373ADE">
      <w:pPr>
        <w:spacing w:line="480" w:lineRule="auto"/>
        <w:ind w:firstLine="708"/>
        <w:rPr>
          <w:szCs w:val="24"/>
          <w:lang w:val="hr-HR"/>
        </w:rPr>
      </w:pPr>
      <w:r w:rsidRPr="008C78FC">
        <w:rPr>
          <w:szCs w:val="24"/>
          <w:lang w:val="hr-HR"/>
        </w:rPr>
        <w:t>Ovaj primjer ilustrira problematiku priznavanje javnih ciljeva u kontekstu prava tr</w:t>
      </w:r>
      <w:r w:rsidR="00851E7F">
        <w:rPr>
          <w:szCs w:val="24"/>
          <w:lang w:val="hr-HR"/>
        </w:rPr>
        <w:t xml:space="preserve">žišnog natjecanja. </w:t>
      </w:r>
      <w:r w:rsidR="00FE6D8A">
        <w:rPr>
          <w:szCs w:val="24"/>
          <w:lang w:val="hr-HR"/>
        </w:rPr>
        <w:t xml:space="preserve">Tko </w:t>
      </w:r>
      <w:r w:rsidR="00A427C1">
        <w:rPr>
          <w:szCs w:val="24"/>
          <w:lang w:val="hr-HR"/>
        </w:rPr>
        <w:t>utvrđuje</w:t>
      </w:r>
      <w:r w:rsidR="00FE6D8A">
        <w:rPr>
          <w:szCs w:val="24"/>
          <w:lang w:val="hr-HR"/>
        </w:rPr>
        <w:t xml:space="preserve"> što je cilj od javnog interesa i kako ga ostvariti? Možemo li zamisliti situaciju po kojoj privatna poduzeće odlučuju o reguliranju društvenih interesa? U </w:t>
      </w:r>
      <w:r w:rsidR="00A427C1">
        <w:rPr>
          <w:szCs w:val="24"/>
          <w:lang w:val="hr-HR"/>
        </w:rPr>
        <w:t>opisanom</w:t>
      </w:r>
      <w:r w:rsidR="00FE6D8A">
        <w:rPr>
          <w:szCs w:val="24"/>
          <w:lang w:val="hr-HR"/>
        </w:rPr>
        <w:t xml:space="preserve"> primjeru je očito da predložena shema ima određenu političku potporu, no samo postojanje podrške javnih </w:t>
      </w:r>
      <w:r w:rsidR="00A427C1">
        <w:rPr>
          <w:szCs w:val="24"/>
          <w:lang w:val="hr-HR"/>
        </w:rPr>
        <w:t>institucija</w:t>
      </w:r>
      <w:r w:rsidR="00FE6D8A">
        <w:rPr>
          <w:szCs w:val="24"/>
          <w:lang w:val="hr-HR"/>
        </w:rPr>
        <w:t xml:space="preserve"> nije bilo dovoljno da različiti krizni karteli za restrukturiranje tržišta izbjegnu zabranu. </w:t>
      </w:r>
      <w:r w:rsidRPr="008C78FC">
        <w:rPr>
          <w:szCs w:val="24"/>
          <w:lang w:val="hr-HR"/>
        </w:rPr>
        <w:t>Radi li se doista o plemenitom cilju i nužnoj mjeri u borbi protiv zlouporabe alkohola ili pak o shemi za zaradu dodatnog profita?</w:t>
      </w:r>
      <w:r w:rsidRPr="008C78FC">
        <w:rPr>
          <w:rStyle w:val="Referencafusnote"/>
          <w:szCs w:val="24"/>
          <w:lang w:val="hr-HR"/>
        </w:rPr>
        <w:footnoteReference w:id="85"/>
      </w:r>
      <w:r w:rsidR="00851E7F">
        <w:rPr>
          <w:szCs w:val="24"/>
          <w:lang w:val="hr-HR"/>
        </w:rPr>
        <w:t xml:space="preserve"> U nastavku se analizira presuda u predmetu </w:t>
      </w:r>
      <w:proofErr w:type="spellStart"/>
      <w:r w:rsidR="00851E7F">
        <w:rPr>
          <w:i/>
          <w:szCs w:val="24"/>
          <w:lang w:val="hr-HR"/>
        </w:rPr>
        <w:t>Pierre</w:t>
      </w:r>
      <w:proofErr w:type="spellEnd"/>
      <w:r w:rsidR="00851E7F">
        <w:rPr>
          <w:i/>
          <w:szCs w:val="24"/>
          <w:lang w:val="hr-HR"/>
        </w:rPr>
        <w:t xml:space="preserve"> </w:t>
      </w:r>
      <w:proofErr w:type="spellStart"/>
      <w:r w:rsidR="00851E7F">
        <w:rPr>
          <w:i/>
          <w:szCs w:val="24"/>
          <w:lang w:val="hr-HR"/>
        </w:rPr>
        <w:t>Fabre</w:t>
      </w:r>
      <w:proofErr w:type="spellEnd"/>
      <w:r w:rsidR="00851E7F">
        <w:rPr>
          <w:i/>
          <w:szCs w:val="24"/>
          <w:lang w:val="hr-HR"/>
        </w:rPr>
        <w:t xml:space="preserve"> </w:t>
      </w:r>
      <w:proofErr w:type="spellStart"/>
      <w:r w:rsidR="00851E7F">
        <w:rPr>
          <w:i/>
          <w:szCs w:val="24"/>
          <w:lang w:val="hr-HR"/>
        </w:rPr>
        <w:t>Cosmetique</w:t>
      </w:r>
      <w:proofErr w:type="spellEnd"/>
      <w:r w:rsidR="00851E7F">
        <w:rPr>
          <w:rStyle w:val="Referencafusnote"/>
          <w:i/>
          <w:szCs w:val="24"/>
          <w:lang w:val="hr-HR"/>
        </w:rPr>
        <w:footnoteReference w:id="86"/>
      </w:r>
      <w:r w:rsidR="00851E7F">
        <w:rPr>
          <w:i/>
          <w:szCs w:val="24"/>
          <w:lang w:val="hr-HR"/>
        </w:rPr>
        <w:t xml:space="preserve">. </w:t>
      </w:r>
      <w:r w:rsidR="00851E7F">
        <w:rPr>
          <w:szCs w:val="24"/>
          <w:lang w:val="hr-HR"/>
        </w:rPr>
        <w:t>Ovaj je predmet do sada jedina instanca u kojoj je neko privatno poduzeće pokušalo opravdati svoj ograničavajući sporazum pozivajući se na cilj javne prirode.</w:t>
      </w:r>
    </w:p>
    <w:p w:rsidR="00022C8E" w:rsidRPr="00C2766A" w:rsidRDefault="00492A59" w:rsidP="00851E7F">
      <w:pPr>
        <w:spacing w:line="480" w:lineRule="auto"/>
        <w:ind w:firstLine="708"/>
        <w:rPr>
          <w:szCs w:val="24"/>
          <w:lang w:val="hr-HR"/>
        </w:rPr>
      </w:pPr>
      <w:proofErr w:type="spellStart"/>
      <w:r w:rsidRPr="00C2766A">
        <w:rPr>
          <w:szCs w:val="24"/>
          <w:lang w:val="hr-HR"/>
        </w:rPr>
        <w:t>Pierre</w:t>
      </w:r>
      <w:proofErr w:type="spellEnd"/>
      <w:r w:rsidR="00F54D7A" w:rsidRPr="00C2766A">
        <w:rPr>
          <w:szCs w:val="24"/>
          <w:lang w:val="hr-HR"/>
        </w:rPr>
        <w:t xml:space="preserve"> </w:t>
      </w:r>
      <w:proofErr w:type="spellStart"/>
      <w:r w:rsidRPr="00C2766A">
        <w:rPr>
          <w:szCs w:val="24"/>
          <w:lang w:val="hr-HR"/>
        </w:rPr>
        <w:t>Fabre</w:t>
      </w:r>
      <w:proofErr w:type="spellEnd"/>
      <w:r w:rsidR="00F54D7A" w:rsidRPr="00C2766A">
        <w:rPr>
          <w:szCs w:val="24"/>
          <w:lang w:val="hr-HR"/>
        </w:rPr>
        <w:t xml:space="preserve"> </w:t>
      </w:r>
      <w:proofErr w:type="spellStart"/>
      <w:r w:rsidR="00851E7F" w:rsidRPr="00C2766A">
        <w:rPr>
          <w:szCs w:val="24"/>
          <w:lang w:val="hr-HR"/>
        </w:rPr>
        <w:t>Dermo</w:t>
      </w:r>
      <w:proofErr w:type="spellEnd"/>
      <w:r w:rsidR="00851E7F" w:rsidRPr="00C2766A">
        <w:rPr>
          <w:szCs w:val="24"/>
          <w:lang w:val="hr-HR"/>
        </w:rPr>
        <w:t>-</w:t>
      </w:r>
      <w:proofErr w:type="spellStart"/>
      <w:r w:rsidR="00851E7F" w:rsidRPr="00C2766A">
        <w:rPr>
          <w:szCs w:val="24"/>
          <w:lang w:val="hr-HR"/>
        </w:rPr>
        <w:t>Cosmetique</w:t>
      </w:r>
      <w:proofErr w:type="spellEnd"/>
      <w:r w:rsidR="00851E7F" w:rsidRPr="00C2766A">
        <w:rPr>
          <w:szCs w:val="24"/>
          <w:lang w:val="hr-HR"/>
        </w:rPr>
        <w:t xml:space="preserve"> je </w:t>
      </w:r>
      <w:r w:rsidRPr="00C2766A">
        <w:rPr>
          <w:szCs w:val="24"/>
          <w:lang w:val="hr-HR"/>
        </w:rPr>
        <w:t xml:space="preserve">kozmetička  kompanija ponajprije </w:t>
      </w:r>
      <w:proofErr w:type="spellStart"/>
      <w:r w:rsidRPr="00C2766A">
        <w:rPr>
          <w:szCs w:val="24"/>
          <w:lang w:val="hr-HR"/>
        </w:rPr>
        <w:t>preparativne</w:t>
      </w:r>
      <w:proofErr w:type="spellEnd"/>
      <w:r w:rsidR="00D2224D" w:rsidRPr="00C2766A">
        <w:rPr>
          <w:szCs w:val="24"/>
          <w:lang w:val="hr-HR"/>
        </w:rPr>
        <w:t xml:space="preserve"> </w:t>
      </w:r>
      <w:r w:rsidR="00851E7F" w:rsidRPr="00C2766A">
        <w:rPr>
          <w:szCs w:val="24"/>
          <w:lang w:val="hr-HR"/>
        </w:rPr>
        <w:t>kozmetike</w:t>
      </w:r>
      <w:r w:rsidR="00A427C1" w:rsidRPr="00C2766A">
        <w:rPr>
          <w:szCs w:val="24"/>
          <w:lang w:val="hr-HR"/>
        </w:rPr>
        <w:t xml:space="preserve">, koja obuhvaća marke </w:t>
      </w:r>
      <w:r w:rsidR="00C2766A" w:rsidRPr="00C2766A">
        <w:rPr>
          <w:szCs w:val="24"/>
          <w:lang w:val="hr-HR"/>
        </w:rPr>
        <w:t xml:space="preserve">poput </w:t>
      </w:r>
      <w:proofErr w:type="spellStart"/>
      <w:r w:rsidR="00A427C1" w:rsidRPr="00C2766A">
        <w:rPr>
          <w:color w:val="010202"/>
          <w:szCs w:val="24"/>
          <w:lang w:val="hr-HR"/>
        </w:rPr>
        <w:t>Kl</w:t>
      </w:r>
      <w:r w:rsidR="00C2766A" w:rsidRPr="00C2766A">
        <w:rPr>
          <w:color w:val="010202"/>
          <w:szCs w:val="24"/>
          <w:lang w:val="hr-HR"/>
        </w:rPr>
        <w:t>orane</w:t>
      </w:r>
      <w:proofErr w:type="spellEnd"/>
      <w:r w:rsidR="00C2766A" w:rsidRPr="00C2766A">
        <w:rPr>
          <w:color w:val="010202"/>
          <w:szCs w:val="24"/>
          <w:lang w:val="hr-HR"/>
        </w:rPr>
        <w:t xml:space="preserve">, </w:t>
      </w:r>
      <w:proofErr w:type="spellStart"/>
      <w:r w:rsidR="00C2766A" w:rsidRPr="00C2766A">
        <w:rPr>
          <w:color w:val="010202"/>
          <w:szCs w:val="24"/>
          <w:lang w:val="hr-HR"/>
        </w:rPr>
        <w:t>Ducray</w:t>
      </w:r>
      <w:proofErr w:type="spellEnd"/>
      <w:r w:rsidR="00C2766A" w:rsidRPr="00C2766A">
        <w:rPr>
          <w:color w:val="010202"/>
          <w:szCs w:val="24"/>
          <w:lang w:val="hr-HR"/>
        </w:rPr>
        <w:t xml:space="preserve">, </w:t>
      </w:r>
      <w:proofErr w:type="spellStart"/>
      <w:r w:rsidR="00C2766A" w:rsidRPr="00C2766A">
        <w:rPr>
          <w:color w:val="010202"/>
          <w:szCs w:val="24"/>
          <w:lang w:val="hr-HR"/>
        </w:rPr>
        <w:t>Galénic</w:t>
      </w:r>
      <w:proofErr w:type="spellEnd"/>
      <w:r w:rsidR="00C2766A" w:rsidRPr="00C2766A">
        <w:rPr>
          <w:color w:val="010202"/>
          <w:szCs w:val="24"/>
          <w:lang w:val="hr-HR"/>
        </w:rPr>
        <w:t xml:space="preserve"> i </w:t>
      </w:r>
      <w:proofErr w:type="spellStart"/>
      <w:r w:rsidR="00C2766A" w:rsidRPr="00C2766A">
        <w:rPr>
          <w:color w:val="010202"/>
          <w:szCs w:val="24"/>
          <w:lang w:val="hr-HR"/>
        </w:rPr>
        <w:t>Avene</w:t>
      </w:r>
      <w:proofErr w:type="spellEnd"/>
      <w:r w:rsidR="00C2766A" w:rsidRPr="00C2766A">
        <w:rPr>
          <w:szCs w:val="24"/>
          <w:lang w:val="hr-HR"/>
        </w:rPr>
        <w:t xml:space="preserve">. </w:t>
      </w:r>
      <w:r w:rsidR="004F2C4E" w:rsidRPr="00C2766A">
        <w:rPr>
          <w:szCs w:val="24"/>
          <w:lang w:val="hr-HR"/>
        </w:rPr>
        <w:t xml:space="preserve">U sporazumima sa svojim distributerima </w:t>
      </w:r>
      <w:proofErr w:type="spellStart"/>
      <w:r w:rsidR="004F2C4E" w:rsidRPr="00C2766A">
        <w:rPr>
          <w:szCs w:val="24"/>
          <w:lang w:val="hr-HR"/>
        </w:rPr>
        <w:t>PierreFabre</w:t>
      </w:r>
      <w:proofErr w:type="spellEnd"/>
      <w:r w:rsidR="004F2C4E" w:rsidRPr="00C2766A">
        <w:rPr>
          <w:szCs w:val="24"/>
          <w:lang w:val="hr-HR"/>
        </w:rPr>
        <w:t xml:space="preserve"> uvjetuju da se njihovi proizvodi moraju prodavati isključivo uz prisutnost kvalificiranog ljekarnika koji bi mogao pružiti adekvatan savjet kupcima o korištenju njihovih proizvoda. Time je </w:t>
      </w:r>
      <w:r w:rsidR="004F2C4E" w:rsidRPr="00C2766A">
        <w:rPr>
          <w:i/>
          <w:szCs w:val="24"/>
          <w:lang w:val="hr-HR"/>
        </w:rPr>
        <w:t xml:space="preserve">de </w:t>
      </w:r>
      <w:proofErr w:type="spellStart"/>
      <w:r w:rsidR="004F2C4E" w:rsidRPr="00C2766A">
        <w:rPr>
          <w:i/>
          <w:szCs w:val="24"/>
          <w:lang w:val="hr-HR"/>
        </w:rPr>
        <w:t>facto</w:t>
      </w:r>
      <w:proofErr w:type="spellEnd"/>
      <w:r w:rsidR="00D2224D" w:rsidRPr="00C2766A">
        <w:rPr>
          <w:i/>
          <w:szCs w:val="24"/>
          <w:lang w:val="hr-HR"/>
        </w:rPr>
        <w:t xml:space="preserve"> </w:t>
      </w:r>
      <w:r w:rsidR="004F2C4E" w:rsidRPr="00C2766A">
        <w:rPr>
          <w:szCs w:val="24"/>
          <w:lang w:val="hr-HR"/>
        </w:rPr>
        <w:t xml:space="preserve">zabranjena prodaja proizvoda preko </w:t>
      </w:r>
      <w:proofErr w:type="spellStart"/>
      <w:r w:rsidR="00E2629F" w:rsidRPr="00C2766A">
        <w:rPr>
          <w:szCs w:val="24"/>
          <w:lang w:val="hr-HR"/>
        </w:rPr>
        <w:t>internata</w:t>
      </w:r>
      <w:r w:rsidR="002E1E84" w:rsidRPr="00C2766A">
        <w:rPr>
          <w:szCs w:val="24"/>
          <w:lang w:val="hr-HR"/>
        </w:rPr>
        <w:t>.</w:t>
      </w:r>
      <w:proofErr w:type="spellEnd"/>
      <w:r w:rsidR="00022C8E" w:rsidRPr="00C2766A">
        <w:rPr>
          <w:szCs w:val="24"/>
          <w:lang w:val="hr-HR"/>
        </w:rPr>
        <w:t xml:space="preserve">. </w:t>
      </w:r>
      <w:proofErr w:type="spellStart"/>
      <w:r w:rsidR="003768EE">
        <w:rPr>
          <w:szCs w:val="24"/>
          <w:lang w:val="hr-HR"/>
        </w:rPr>
        <w:t>Pierre</w:t>
      </w:r>
      <w:proofErr w:type="spellEnd"/>
      <w:r w:rsidR="003768EE">
        <w:rPr>
          <w:szCs w:val="24"/>
          <w:lang w:val="hr-HR"/>
        </w:rPr>
        <w:t xml:space="preserve"> </w:t>
      </w:r>
      <w:proofErr w:type="spellStart"/>
      <w:r w:rsidR="003768EE">
        <w:rPr>
          <w:szCs w:val="24"/>
          <w:lang w:val="hr-HR"/>
        </w:rPr>
        <w:t>Fabre</w:t>
      </w:r>
      <w:proofErr w:type="spellEnd"/>
      <w:r w:rsidR="003768EE">
        <w:rPr>
          <w:szCs w:val="24"/>
          <w:lang w:val="hr-HR"/>
        </w:rPr>
        <w:t xml:space="preserve"> DC je istaknuo nekoliko argumenata zašto je takva apsolutna zabrana nužna: </w:t>
      </w:r>
      <w:r w:rsidR="00022C8E" w:rsidRPr="00C2766A">
        <w:rPr>
          <w:szCs w:val="24"/>
          <w:lang w:val="hr-HR"/>
        </w:rPr>
        <w:lastRenderedPageBreak/>
        <w:t>problem „slijepog putnika“, zaštita od krivotvorenja proizvoda i očuvanje imidža proizvoda</w:t>
      </w:r>
      <w:r w:rsidR="00022C8E" w:rsidRPr="00C2766A">
        <w:rPr>
          <w:rStyle w:val="Referencafusnote"/>
          <w:szCs w:val="24"/>
          <w:lang w:val="hr-HR"/>
        </w:rPr>
        <w:footnoteReference w:id="87"/>
      </w:r>
      <w:r w:rsidR="00022C8E" w:rsidRPr="00C2766A">
        <w:rPr>
          <w:szCs w:val="24"/>
          <w:lang w:val="hr-HR"/>
        </w:rPr>
        <w:t xml:space="preserve">. </w:t>
      </w:r>
      <w:r w:rsidR="003768EE">
        <w:rPr>
          <w:szCs w:val="24"/>
          <w:lang w:val="hr-HR"/>
        </w:rPr>
        <w:t>Uz te, može se reći klasična</w:t>
      </w:r>
      <w:r w:rsidR="003768EE" w:rsidRPr="00C2766A">
        <w:rPr>
          <w:szCs w:val="24"/>
          <w:lang w:val="hr-HR"/>
        </w:rPr>
        <w:t xml:space="preserve"> opravdanja u području tržišnog natjecanja i sustava</w:t>
      </w:r>
      <w:r w:rsidR="003768EE">
        <w:rPr>
          <w:szCs w:val="24"/>
          <w:lang w:val="hr-HR"/>
        </w:rPr>
        <w:t xml:space="preserve"> selektivne distribucije, </w:t>
      </w:r>
      <w:proofErr w:type="spellStart"/>
      <w:r w:rsidR="003768EE">
        <w:rPr>
          <w:szCs w:val="24"/>
          <w:lang w:val="hr-HR"/>
        </w:rPr>
        <w:t>Pierre</w:t>
      </w:r>
      <w:proofErr w:type="spellEnd"/>
      <w:r w:rsidR="003768EE">
        <w:rPr>
          <w:szCs w:val="24"/>
          <w:lang w:val="hr-HR"/>
        </w:rPr>
        <w:t xml:space="preserve"> </w:t>
      </w:r>
      <w:proofErr w:type="spellStart"/>
      <w:r w:rsidR="003768EE">
        <w:rPr>
          <w:szCs w:val="24"/>
          <w:lang w:val="hr-HR"/>
        </w:rPr>
        <w:t>Fabre</w:t>
      </w:r>
      <w:proofErr w:type="spellEnd"/>
      <w:r w:rsidR="003768EE">
        <w:rPr>
          <w:szCs w:val="24"/>
          <w:lang w:val="hr-HR"/>
        </w:rPr>
        <w:t xml:space="preserve"> je opravdavao svoj sustav zahtjevima zaštite zdravlja potrošača. Naime, nužan je bio individualan i neposredan savjet kvalificiranog farmaceuta, kako bi krajnji korisnici bili upoznati s pravilnom upotrebom njihovih proizvoda.</w:t>
      </w:r>
    </w:p>
    <w:p w:rsidR="003768EE" w:rsidRDefault="003768EE" w:rsidP="00462A03">
      <w:pPr>
        <w:autoSpaceDE w:val="0"/>
        <w:autoSpaceDN w:val="0"/>
        <w:adjustRightInd w:val="0"/>
        <w:spacing w:before="0" w:after="0" w:line="480" w:lineRule="auto"/>
        <w:rPr>
          <w:szCs w:val="24"/>
          <w:lang w:val="hr-HR"/>
        </w:rPr>
      </w:pPr>
      <w:r>
        <w:rPr>
          <w:szCs w:val="24"/>
          <w:lang w:val="hr-HR"/>
        </w:rPr>
        <w:t xml:space="preserve">Argumentacija stranaka je bila inspirirana odredbom u </w:t>
      </w:r>
      <w:r w:rsidR="00462A03">
        <w:rPr>
          <w:szCs w:val="24"/>
          <w:lang w:val="hr-HR"/>
        </w:rPr>
        <w:t xml:space="preserve">Smjernicama o vertikalnim ograničenjima. Naime  </w:t>
      </w:r>
      <w:r w:rsidR="00462A03" w:rsidRPr="00462A03">
        <w:rPr>
          <w:szCs w:val="24"/>
          <w:lang w:val="hr-HR"/>
        </w:rPr>
        <w:t>“</w:t>
      </w:r>
      <w:r w:rsidR="00462A03">
        <w:rPr>
          <w:szCs w:val="24"/>
          <w:lang w:val="hr-HR"/>
        </w:rPr>
        <w:t>t</w:t>
      </w:r>
      <w:r w:rsidR="00462A03" w:rsidRPr="00462A03">
        <w:rPr>
          <w:szCs w:val="24"/>
          <w:lang w:val="hr-HR"/>
        </w:rPr>
        <w:t>eška ograničenja tržišnog natjecanja mogu obiti objektivno neophodna u iznimnim slučajevima sporazuma određenog tipa ili obilježja</w:t>
      </w:r>
      <w:r w:rsidR="00462A03" w:rsidRPr="00462A03">
        <w:rPr>
          <w:sz w:val="16"/>
          <w:szCs w:val="16"/>
          <w:lang w:val="hr-HR"/>
        </w:rPr>
        <w:t xml:space="preserve"> </w:t>
      </w:r>
      <w:r w:rsidR="00462A03" w:rsidRPr="00462A03">
        <w:rPr>
          <w:szCs w:val="24"/>
          <w:lang w:val="hr-HR"/>
        </w:rPr>
        <w:t>i stoga ne spadaju u područje primjene članka 101. stavka 1. Na primjer, teško ograničenje tržišnog natjecanja može biti objektivno neophodno kako bi se osiguralo poštivanje opće zabrane prodaje opasnih tvari određenim korisnicima iz sigurnosnih ili zdravstvenih razloga”</w:t>
      </w:r>
      <w:r w:rsidR="00462A03">
        <w:rPr>
          <w:rStyle w:val="Referencafusnote"/>
          <w:szCs w:val="24"/>
          <w:lang w:val="hr-HR"/>
        </w:rPr>
        <w:footnoteReference w:id="88"/>
      </w:r>
      <w:r w:rsidR="00462A03">
        <w:rPr>
          <w:szCs w:val="24"/>
          <w:lang w:val="hr-HR"/>
        </w:rPr>
        <w:t xml:space="preserve"> </w:t>
      </w:r>
    </w:p>
    <w:p w:rsidR="00462A03" w:rsidRDefault="00462A03" w:rsidP="00462A03">
      <w:pPr>
        <w:autoSpaceDE w:val="0"/>
        <w:autoSpaceDN w:val="0"/>
        <w:adjustRightInd w:val="0"/>
        <w:spacing w:before="0" w:after="0" w:line="480" w:lineRule="auto"/>
        <w:rPr>
          <w:szCs w:val="24"/>
          <w:lang w:val="hr-HR"/>
        </w:rPr>
      </w:pPr>
      <w:r>
        <w:rPr>
          <w:szCs w:val="24"/>
          <w:lang w:val="hr-HR"/>
        </w:rPr>
        <w:t>Francuska agencija za zaštitu tržišnog natjecanja</w:t>
      </w:r>
      <w:r w:rsidR="003768EE">
        <w:rPr>
          <w:szCs w:val="24"/>
          <w:lang w:val="hr-HR"/>
        </w:rPr>
        <w:t xml:space="preserve"> se zalagala za striktno tumačenje takve iznimke i </w:t>
      </w:r>
      <w:r>
        <w:rPr>
          <w:szCs w:val="24"/>
          <w:lang w:val="hr-HR"/>
        </w:rPr>
        <w:t>odbacila mogućnost da privatna poduzeće se poz</w:t>
      </w:r>
      <w:r w:rsidR="003768EE">
        <w:rPr>
          <w:szCs w:val="24"/>
          <w:lang w:val="hr-HR"/>
        </w:rPr>
        <w:t>ivaju na ciljeve javne prirode kako bi ograničili tržišno natjecanje. Jedina mogućnost postoji k</w:t>
      </w:r>
      <w:r>
        <w:rPr>
          <w:szCs w:val="24"/>
          <w:lang w:val="hr-HR"/>
        </w:rPr>
        <w:t xml:space="preserve">ada </w:t>
      </w:r>
      <w:r w:rsidR="003768EE">
        <w:rPr>
          <w:szCs w:val="24"/>
          <w:lang w:val="hr-HR"/>
        </w:rPr>
        <w:t xml:space="preserve">se </w:t>
      </w:r>
      <w:r>
        <w:rPr>
          <w:szCs w:val="24"/>
          <w:lang w:val="hr-HR"/>
        </w:rPr>
        <w:t xml:space="preserve">nacionalnim pravom ili </w:t>
      </w:r>
      <w:r w:rsidR="003768EE">
        <w:rPr>
          <w:szCs w:val="24"/>
          <w:lang w:val="hr-HR"/>
        </w:rPr>
        <w:t>odredbama</w:t>
      </w:r>
      <w:r>
        <w:rPr>
          <w:szCs w:val="24"/>
          <w:lang w:val="hr-HR"/>
        </w:rPr>
        <w:t xml:space="preserve"> pr</w:t>
      </w:r>
      <w:r w:rsidR="003768EE">
        <w:rPr>
          <w:szCs w:val="24"/>
          <w:lang w:val="hr-HR"/>
        </w:rPr>
        <w:t xml:space="preserve">ava Europske Unije je drugačije </w:t>
      </w:r>
      <w:r>
        <w:rPr>
          <w:szCs w:val="24"/>
          <w:lang w:val="hr-HR"/>
        </w:rPr>
        <w:t xml:space="preserve">određeno . Primjerice, ukoliko radi zaštite javne sigurnosti i zdravlja, nacionalni propisi zabranjuju prodaju pirotehničkog materijala maloljetnicima. Proizvođač (ili uvoznik) takvih proizvoda zabrani svojim distributerima prodaju preko </w:t>
      </w:r>
      <w:proofErr w:type="spellStart"/>
      <w:r>
        <w:rPr>
          <w:szCs w:val="24"/>
          <w:lang w:val="hr-HR"/>
        </w:rPr>
        <w:t>interneta</w:t>
      </w:r>
      <w:proofErr w:type="spellEnd"/>
      <w:r>
        <w:rPr>
          <w:szCs w:val="24"/>
          <w:lang w:val="hr-HR"/>
        </w:rPr>
        <w:t xml:space="preserve">. Razlog tomu je </w:t>
      </w:r>
      <w:r w:rsidR="00D221CD">
        <w:rPr>
          <w:szCs w:val="24"/>
          <w:lang w:val="hr-HR"/>
        </w:rPr>
        <w:t>što Internet kupnja ne daje mogućnost</w:t>
      </w:r>
      <w:r>
        <w:rPr>
          <w:szCs w:val="24"/>
          <w:lang w:val="hr-HR"/>
        </w:rPr>
        <w:t xml:space="preserve"> u potpunosti provjeru identiteta kupca i ukoliko bi se dozvolila prodaja putem </w:t>
      </w:r>
      <w:proofErr w:type="spellStart"/>
      <w:r>
        <w:rPr>
          <w:szCs w:val="24"/>
          <w:lang w:val="hr-HR"/>
        </w:rPr>
        <w:t>interneta</w:t>
      </w:r>
      <w:proofErr w:type="spellEnd"/>
      <w:r>
        <w:rPr>
          <w:szCs w:val="24"/>
          <w:lang w:val="hr-HR"/>
        </w:rPr>
        <w:t xml:space="preserve"> ne bi se moglo sa sigurnošću </w:t>
      </w:r>
      <w:proofErr w:type="spellStart"/>
      <w:r>
        <w:rPr>
          <w:szCs w:val="24"/>
          <w:lang w:val="hr-HR"/>
        </w:rPr>
        <w:t>utvditi</w:t>
      </w:r>
      <w:proofErr w:type="spellEnd"/>
      <w:r>
        <w:rPr>
          <w:szCs w:val="24"/>
          <w:lang w:val="hr-HR"/>
        </w:rPr>
        <w:t xml:space="preserve"> da li se prodaja odvija u okvirima prisilnih propisa. Nezavisni odvjetnik </w:t>
      </w:r>
      <w:proofErr w:type="spellStart"/>
      <w:r w:rsidR="00D221CD">
        <w:rPr>
          <w:szCs w:val="24"/>
          <w:lang w:val="hr-HR"/>
        </w:rPr>
        <w:lastRenderedPageBreak/>
        <w:t>Mazá</w:t>
      </w:r>
      <w:r>
        <w:rPr>
          <w:szCs w:val="24"/>
          <w:lang w:val="hr-HR"/>
        </w:rPr>
        <w:t>k</w:t>
      </w:r>
      <w:proofErr w:type="spellEnd"/>
      <w:r>
        <w:rPr>
          <w:szCs w:val="24"/>
          <w:lang w:val="hr-HR"/>
        </w:rPr>
        <w:t xml:space="preserve"> je imao nešto više razumijevanja i prepoznao je mogućnost i da isključivo dobrovoljna privatna regulacija može izbjeći zabranu iz članka 101(1) </w:t>
      </w:r>
      <w:proofErr w:type="spellStart"/>
      <w:r>
        <w:rPr>
          <w:szCs w:val="24"/>
          <w:lang w:val="hr-HR"/>
        </w:rPr>
        <w:t>UFEU</w:t>
      </w:r>
      <w:proofErr w:type="spellEnd"/>
      <w:r>
        <w:rPr>
          <w:szCs w:val="24"/>
          <w:lang w:val="hr-HR"/>
        </w:rPr>
        <w:t xml:space="preserve">. No, pri tome je nužno da se radi o cilju javne prirode koji nije samo u interesu stranaka sporazuma. </w:t>
      </w:r>
    </w:p>
    <w:p w:rsidR="00492A59" w:rsidRDefault="00D221CD" w:rsidP="00D221CD">
      <w:pPr>
        <w:spacing w:line="480" w:lineRule="auto"/>
        <w:rPr>
          <w:szCs w:val="24"/>
          <w:lang w:val="hr-HR"/>
        </w:rPr>
      </w:pPr>
      <w:r>
        <w:rPr>
          <w:szCs w:val="24"/>
          <w:lang w:val="hr-HR"/>
        </w:rPr>
        <w:t xml:space="preserve">S druge strane, Sud je </w:t>
      </w:r>
      <w:r w:rsidR="00022C8E" w:rsidRPr="008C78FC">
        <w:rPr>
          <w:szCs w:val="24"/>
          <w:lang w:val="hr-HR"/>
        </w:rPr>
        <w:t>zaključio da su selektivni distribucijski sustavi</w:t>
      </w:r>
      <w:r>
        <w:rPr>
          <w:szCs w:val="24"/>
          <w:lang w:val="hr-HR"/>
        </w:rPr>
        <w:t xml:space="preserve"> koji zabranjuju prodaju putem I</w:t>
      </w:r>
      <w:r w:rsidR="00022C8E">
        <w:rPr>
          <w:szCs w:val="24"/>
          <w:lang w:val="hr-HR"/>
        </w:rPr>
        <w:t>nterneta</w:t>
      </w:r>
      <w:r w:rsidR="00022C8E" w:rsidRPr="008C78FC">
        <w:rPr>
          <w:szCs w:val="24"/>
          <w:lang w:val="hr-HR"/>
        </w:rPr>
        <w:t>, u principu, protivni pravilima tržišnog natjecanja. No, takvi ugovori ipak mogu izbjeći zabranu iz članka 101(1)</w:t>
      </w:r>
      <w:r w:rsidR="00022C8E">
        <w:rPr>
          <w:szCs w:val="24"/>
          <w:lang w:val="hr-HR"/>
        </w:rPr>
        <w:t xml:space="preserve"> </w:t>
      </w:r>
      <w:proofErr w:type="spellStart"/>
      <w:r w:rsidR="00022C8E">
        <w:rPr>
          <w:szCs w:val="24"/>
          <w:lang w:val="hr-HR"/>
        </w:rPr>
        <w:t>UFEU</w:t>
      </w:r>
      <w:proofErr w:type="spellEnd"/>
      <w:r w:rsidR="00022C8E" w:rsidRPr="008C78FC">
        <w:rPr>
          <w:szCs w:val="24"/>
          <w:lang w:val="hr-HR"/>
        </w:rPr>
        <w:t xml:space="preserve"> ukoliko su “objektivno nužni za ispunjenje nekog legitimnog cilja”. </w:t>
      </w:r>
      <w:r>
        <w:rPr>
          <w:szCs w:val="24"/>
          <w:lang w:val="hr-HR"/>
        </w:rPr>
        <w:t xml:space="preserve">Međutim, odbacio je mogućnost da se </w:t>
      </w:r>
      <w:r w:rsidR="00373ADE" w:rsidRPr="008C78FC">
        <w:rPr>
          <w:szCs w:val="24"/>
          <w:lang w:val="hr-HR"/>
        </w:rPr>
        <w:t>zabrana</w:t>
      </w:r>
      <w:r w:rsidR="00492A59" w:rsidRPr="008C78FC">
        <w:rPr>
          <w:szCs w:val="24"/>
          <w:lang w:val="hr-HR"/>
        </w:rPr>
        <w:t xml:space="preserve"> Internet prodaje </w:t>
      </w:r>
      <w:r w:rsidR="00373ADE" w:rsidRPr="008C78FC">
        <w:rPr>
          <w:szCs w:val="24"/>
          <w:lang w:val="hr-HR"/>
        </w:rPr>
        <w:t>može opravdati ciljem zaštite kupaca</w:t>
      </w:r>
      <w:r>
        <w:rPr>
          <w:szCs w:val="24"/>
          <w:lang w:val="hr-HR"/>
        </w:rPr>
        <w:t xml:space="preserve"> ukoliko</w:t>
      </w:r>
      <w:r w:rsidR="00373ADE" w:rsidRPr="008C78FC">
        <w:rPr>
          <w:szCs w:val="24"/>
          <w:lang w:val="hr-HR"/>
        </w:rPr>
        <w:t xml:space="preserve"> </w:t>
      </w:r>
      <w:r>
        <w:rPr>
          <w:szCs w:val="24"/>
          <w:lang w:val="hr-HR"/>
        </w:rPr>
        <w:t>proizvod u pitanju nema</w:t>
      </w:r>
      <w:r w:rsidR="00492A59" w:rsidRPr="008C78FC">
        <w:rPr>
          <w:szCs w:val="24"/>
          <w:lang w:val="hr-HR"/>
        </w:rPr>
        <w:t xml:space="preserve"> karakteristike lijeka. U tom pogledu se pozvao na svoju praksu u </w:t>
      </w:r>
      <w:r>
        <w:rPr>
          <w:szCs w:val="24"/>
          <w:lang w:val="hr-HR"/>
        </w:rPr>
        <w:t>području slobodnog</w:t>
      </w:r>
      <w:r w:rsidR="00492A59" w:rsidRPr="008C78FC">
        <w:rPr>
          <w:szCs w:val="24"/>
          <w:lang w:val="hr-HR"/>
        </w:rPr>
        <w:t xml:space="preserve"> kretanju robe</w:t>
      </w:r>
      <w:r w:rsidR="00492A59" w:rsidRPr="008C78FC">
        <w:rPr>
          <w:rStyle w:val="Referencafusnote"/>
          <w:rFonts w:eastAsiaTheme="majorEastAsia"/>
          <w:szCs w:val="24"/>
          <w:lang w:val="hr-HR"/>
        </w:rPr>
        <w:footnoteReference w:id="89"/>
      </w:r>
      <w:r w:rsidR="00492A59" w:rsidRPr="008C78FC">
        <w:rPr>
          <w:szCs w:val="24"/>
          <w:lang w:val="hr-HR"/>
        </w:rPr>
        <w:t xml:space="preserve">.  U </w:t>
      </w:r>
      <w:proofErr w:type="spellStart"/>
      <w:r w:rsidR="00492A59" w:rsidRPr="008C78FC">
        <w:rPr>
          <w:i/>
          <w:szCs w:val="24"/>
          <w:lang w:val="hr-HR"/>
        </w:rPr>
        <w:t>DocMorris</w:t>
      </w:r>
      <w:proofErr w:type="spellEnd"/>
      <w:r w:rsidR="00250117" w:rsidRPr="008C78FC">
        <w:rPr>
          <w:rStyle w:val="Referencafusnote"/>
          <w:i/>
          <w:szCs w:val="24"/>
          <w:lang w:val="hr-HR"/>
        </w:rPr>
        <w:footnoteReference w:id="90"/>
      </w:r>
      <w:r w:rsidR="00492A59" w:rsidRPr="008C78FC">
        <w:rPr>
          <w:szCs w:val="24"/>
          <w:lang w:val="hr-HR"/>
        </w:rPr>
        <w:t xml:space="preserve">i </w:t>
      </w:r>
      <w:proofErr w:type="spellStart"/>
      <w:r w:rsidR="00492A59" w:rsidRPr="008C78FC">
        <w:rPr>
          <w:i/>
          <w:szCs w:val="24"/>
          <w:lang w:val="hr-HR"/>
        </w:rPr>
        <w:t>KerOPtica</w:t>
      </w:r>
      <w:proofErr w:type="spellEnd"/>
      <w:r w:rsidR="00250117" w:rsidRPr="008C78FC">
        <w:rPr>
          <w:rStyle w:val="Referencafusnote"/>
          <w:i/>
          <w:szCs w:val="24"/>
          <w:lang w:val="hr-HR"/>
        </w:rPr>
        <w:footnoteReference w:id="91"/>
      </w:r>
      <w:r w:rsidR="00492A59" w:rsidRPr="008C78FC">
        <w:rPr>
          <w:szCs w:val="24"/>
          <w:lang w:val="hr-HR"/>
        </w:rPr>
        <w:t>sud je odlučivao o nacionalnim mjerama kojima se zabranjuje Int</w:t>
      </w:r>
      <w:r w:rsidR="004A567F">
        <w:rPr>
          <w:szCs w:val="24"/>
          <w:lang w:val="hr-HR"/>
        </w:rPr>
        <w:t>ernet prodaja</w:t>
      </w:r>
      <w:r w:rsidR="00492A59" w:rsidRPr="008C78FC">
        <w:rPr>
          <w:szCs w:val="24"/>
          <w:lang w:val="hr-HR"/>
        </w:rPr>
        <w:t xml:space="preserve"> lijekova bez recepta i optičkih leća kako bi se osigurao </w:t>
      </w:r>
      <w:r w:rsidR="00373ADE" w:rsidRPr="008C78FC">
        <w:rPr>
          <w:szCs w:val="24"/>
          <w:lang w:val="hr-HR"/>
        </w:rPr>
        <w:t>individualan</w:t>
      </w:r>
      <w:r w:rsidR="00492A59" w:rsidRPr="008C78FC">
        <w:rPr>
          <w:szCs w:val="24"/>
          <w:lang w:val="hr-HR"/>
        </w:rPr>
        <w:t xml:space="preserve"> savjet </w:t>
      </w:r>
      <w:r w:rsidR="00373ADE" w:rsidRPr="008C78FC">
        <w:rPr>
          <w:szCs w:val="24"/>
          <w:lang w:val="hr-HR"/>
        </w:rPr>
        <w:t>potrošačima</w:t>
      </w:r>
      <w:r w:rsidR="00492A59" w:rsidRPr="008C78FC">
        <w:rPr>
          <w:szCs w:val="24"/>
          <w:lang w:val="hr-HR"/>
        </w:rPr>
        <w:t xml:space="preserve"> i zaštitilo </w:t>
      </w:r>
      <w:r w:rsidR="00373ADE" w:rsidRPr="008C78FC">
        <w:rPr>
          <w:szCs w:val="24"/>
          <w:lang w:val="hr-HR"/>
        </w:rPr>
        <w:t>potrošača</w:t>
      </w:r>
      <w:r w:rsidR="00492A59" w:rsidRPr="008C78FC">
        <w:rPr>
          <w:szCs w:val="24"/>
          <w:lang w:val="hr-HR"/>
        </w:rPr>
        <w:t xml:space="preserve"> od neispravnog korištenja. </w:t>
      </w:r>
    </w:p>
    <w:p w:rsidR="00C00481" w:rsidRDefault="00D221CD" w:rsidP="00D221CD">
      <w:pPr>
        <w:spacing w:line="480" w:lineRule="auto"/>
        <w:ind w:firstLine="708"/>
        <w:rPr>
          <w:szCs w:val="24"/>
          <w:lang w:val="hr-HR"/>
        </w:rPr>
      </w:pPr>
      <w:r>
        <w:rPr>
          <w:szCs w:val="24"/>
          <w:lang w:val="hr-HR"/>
        </w:rPr>
        <w:t xml:space="preserve">Iako Sud u </w:t>
      </w:r>
      <w:proofErr w:type="spellStart"/>
      <w:r>
        <w:rPr>
          <w:i/>
          <w:szCs w:val="24"/>
          <w:lang w:val="hr-HR"/>
        </w:rPr>
        <w:t>Pierre</w:t>
      </w:r>
      <w:proofErr w:type="spellEnd"/>
      <w:r>
        <w:rPr>
          <w:i/>
          <w:szCs w:val="24"/>
          <w:lang w:val="hr-HR"/>
        </w:rPr>
        <w:t xml:space="preserve"> </w:t>
      </w:r>
      <w:proofErr w:type="spellStart"/>
      <w:r>
        <w:rPr>
          <w:i/>
          <w:szCs w:val="24"/>
          <w:lang w:val="hr-HR"/>
        </w:rPr>
        <w:t>Fabre</w:t>
      </w:r>
      <w:proofErr w:type="spellEnd"/>
      <w:r>
        <w:rPr>
          <w:i/>
          <w:szCs w:val="24"/>
          <w:lang w:val="hr-HR"/>
        </w:rPr>
        <w:t xml:space="preserve"> </w:t>
      </w:r>
      <w:r>
        <w:rPr>
          <w:szCs w:val="24"/>
          <w:lang w:val="hr-HR"/>
        </w:rPr>
        <w:t xml:space="preserve">nije decidirano odredio ulogu ciljeva javne prirode kada privatna poduzeće ograničavaju tržišno natjecanje, mogu se izvući neki općeniti zaključci. </w:t>
      </w:r>
      <w:r w:rsidR="00C00481">
        <w:rPr>
          <w:szCs w:val="24"/>
          <w:lang w:val="hr-HR"/>
        </w:rPr>
        <w:t>Osnovna</w:t>
      </w:r>
      <w:r w:rsidR="004A567F">
        <w:rPr>
          <w:szCs w:val="24"/>
          <w:lang w:val="hr-HR"/>
        </w:rPr>
        <w:t xml:space="preserve"> razlika između </w:t>
      </w:r>
      <w:proofErr w:type="spellStart"/>
      <w:r w:rsidR="004A567F">
        <w:rPr>
          <w:szCs w:val="24"/>
          <w:lang w:val="hr-HR"/>
        </w:rPr>
        <w:t>kvazi</w:t>
      </w:r>
      <w:proofErr w:type="spellEnd"/>
      <w:r w:rsidR="004A567F">
        <w:rPr>
          <w:szCs w:val="24"/>
          <w:lang w:val="hr-HR"/>
        </w:rPr>
        <w:t xml:space="preserve">-regulatornih tijela obrađenih u prethodnom poglavlju i situacije u </w:t>
      </w:r>
      <w:proofErr w:type="spellStart"/>
      <w:r w:rsidR="004A567F" w:rsidRPr="00C00481">
        <w:rPr>
          <w:i/>
          <w:szCs w:val="24"/>
          <w:lang w:val="hr-HR"/>
        </w:rPr>
        <w:t>Pierre</w:t>
      </w:r>
      <w:proofErr w:type="spellEnd"/>
      <w:r w:rsidR="004A567F" w:rsidRPr="00C00481">
        <w:rPr>
          <w:i/>
          <w:szCs w:val="24"/>
          <w:lang w:val="hr-HR"/>
        </w:rPr>
        <w:t xml:space="preserve"> </w:t>
      </w:r>
      <w:proofErr w:type="spellStart"/>
      <w:r w:rsidR="004A567F" w:rsidRPr="00C00481">
        <w:rPr>
          <w:i/>
          <w:szCs w:val="24"/>
          <w:lang w:val="hr-HR"/>
        </w:rPr>
        <w:t>Fabre</w:t>
      </w:r>
      <w:proofErr w:type="spellEnd"/>
      <w:r w:rsidR="004A567F">
        <w:rPr>
          <w:szCs w:val="24"/>
          <w:lang w:val="hr-HR"/>
        </w:rPr>
        <w:t xml:space="preserve">, je u tome što ne postoji zakonodavni okvir kojim je tijelu dana ovlast (i dužnost) da poduzme mjere radi ostvarenja nekog javnog cilj. Nizozemska odvjetnička komora u </w:t>
      </w:r>
      <w:proofErr w:type="spellStart"/>
      <w:r w:rsidR="004A567F" w:rsidRPr="004A567F">
        <w:rPr>
          <w:i/>
          <w:szCs w:val="24"/>
          <w:lang w:val="hr-HR"/>
        </w:rPr>
        <w:t>Wouters</w:t>
      </w:r>
      <w:proofErr w:type="spellEnd"/>
      <w:r w:rsidR="004A567F">
        <w:rPr>
          <w:i/>
          <w:szCs w:val="24"/>
          <w:lang w:val="hr-HR"/>
        </w:rPr>
        <w:t xml:space="preserve"> </w:t>
      </w:r>
      <w:r w:rsidR="004A567F">
        <w:rPr>
          <w:szCs w:val="24"/>
          <w:lang w:val="hr-HR"/>
        </w:rPr>
        <w:t xml:space="preserve">je bila zadužena za reguliranje profesije i jamčenje ispravnog postupanja. U </w:t>
      </w:r>
      <w:proofErr w:type="spellStart"/>
      <w:r w:rsidR="00C00481" w:rsidRPr="00C00481">
        <w:rPr>
          <w:rStyle w:val="affairetitle"/>
          <w:rFonts w:eastAsiaTheme="majorEastAsia"/>
          <w:i/>
          <w:lang w:val="hr-HR"/>
        </w:rPr>
        <w:t>Consiglio</w:t>
      </w:r>
      <w:proofErr w:type="spellEnd"/>
      <w:r w:rsidR="00C00481" w:rsidRPr="00C00481">
        <w:rPr>
          <w:rStyle w:val="affairetitle"/>
          <w:rFonts w:eastAsiaTheme="majorEastAsia"/>
          <w:i/>
          <w:lang w:val="hr-HR"/>
        </w:rPr>
        <w:t xml:space="preserve"> </w:t>
      </w:r>
      <w:proofErr w:type="spellStart"/>
      <w:r w:rsidR="00C00481" w:rsidRPr="00C00481">
        <w:rPr>
          <w:rStyle w:val="affairetitle"/>
          <w:rFonts w:eastAsiaTheme="majorEastAsia"/>
          <w:i/>
          <w:lang w:val="hr-HR"/>
        </w:rPr>
        <w:t>nazionale</w:t>
      </w:r>
      <w:proofErr w:type="spellEnd"/>
      <w:r w:rsidR="00C00481" w:rsidRPr="00C00481">
        <w:rPr>
          <w:rStyle w:val="affairetitle"/>
          <w:rFonts w:eastAsiaTheme="majorEastAsia"/>
          <w:i/>
          <w:lang w:val="hr-HR"/>
        </w:rPr>
        <w:t xml:space="preserve"> </w:t>
      </w:r>
      <w:proofErr w:type="spellStart"/>
      <w:r w:rsidR="00C00481" w:rsidRPr="00C00481">
        <w:rPr>
          <w:rStyle w:val="affairetitle"/>
          <w:rFonts w:eastAsiaTheme="majorEastAsia"/>
          <w:i/>
          <w:lang w:val="hr-HR"/>
        </w:rPr>
        <w:t>dei</w:t>
      </w:r>
      <w:proofErr w:type="spellEnd"/>
      <w:r w:rsidR="00C00481" w:rsidRPr="00C00481">
        <w:rPr>
          <w:rStyle w:val="affairetitle"/>
          <w:rFonts w:eastAsiaTheme="majorEastAsia"/>
          <w:i/>
          <w:lang w:val="hr-HR"/>
        </w:rPr>
        <w:t xml:space="preserve"> </w:t>
      </w:r>
      <w:proofErr w:type="spellStart"/>
      <w:r w:rsidR="00C00481" w:rsidRPr="00C00481">
        <w:rPr>
          <w:rStyle w:val="affairetitle"/>
          <w:rFonts w:eastAsiaTheme="majorEastAsia"/>
          <w:i/>
          <w:lang w:val="hr-HR"/>
        </w:rPr>
        <w:t>geologii</w:t>
      </w:r>
      <w:proofErr w:type="spellEnd"/>
      <w:r w:rsidR="00C00481" w:rsidRPr="00C00481">
        <w:rPr>
          <w:rStyle w:val="affairetitle"/>
          <w:rFonts w:eastAsiaTheme="majorEastAsia"/>
          <w:i/>
          <w:lang w:val="hr-HR"/>
        </w:rPr>
        <w:t xml:space="preserve"> </w:t>
      </w:r>
      <w:proofErr w:type="spellStart"/>
      <w:r w:rsidR="00C00481" w:rsidRPr="00C00481">
        <w:rPr>
          <w:rStyle w:val="affairetitle"/>
          <w:rFonts w:eastAsiaTheme="majorEastAsia"/>
          <w:i/>
          <w:lang w:val="hr-HR"/>
        </w:rPr>
        <w:t>Autorità</w:t>
      </w:r>
      <w:proofErr w:type="spellEnd"/>
      <w:r w:rsidR="00C00481" w:rsidRPr="00C00481">
        <w:rPr>
          <w:rStyle w:val="affairetitle"/>
          <w:rFonts w:eastAsiaTheme="majorEastAsia"/>
          <w:i/>
          <w:lang w:val="hr-HR"/>
        </w:rPr>
        <w:t xml:space="preserve"> garante </w:t>
      </w:r>
      <w:proofErr w:type="spellStart"/>
      <w:r w:rsidR="00C00481" w:rsidRPr="00C00481">
        <w:rPr>
          <w:rStyle w:val="affairetitle"/>
          <w:rFonts w:eastAsiaTheme="majorEastAsia"/>
          <w:i/>
          <w:lang w:val="hr-HR"/>
        </w:rPr>
        <w:t>della</w:t>
      </w:r>
      <w:proofErr w:type="spellEnd"/>
      <w:r w:rsidR="00C00481" w:rsidRPr="008C78FC">
        <w:rPr>
          <w:rStyle w:val="Referencafusnote"/>
          <w:szCs w:val="24"/>
          <w:lang w:val="hr-HR"/>
        </w:rPr>
        <w:footnoteReference w:id="92"/>
      </w:r>
      <w:r w:rsidR="004A567F">
        <w:rPr>
          <w:szCs w:val="24"/>
          <w:lang w:val="hr-HR"/>
        </w:rPr>
        <w:t xml:space="preserve">, udruga je utemeljena kako bi se </w:t>
      </w:r>
      <w:r w:rsidR="00C00481">
        <w:rPr>
          <w:szCs w:val="24"/>
          <w:lang w:val="hr-HR"/>
        </w:rPr>
        <w:lastRenderedPageBreak/>
        <w:t>potrošačima</w:t>
      </w:r>
      <w:r w:rsidR="004A567F">
        <w:rPr>
          <w:szCs w:val="24"/>
          <w:lang w:val="hr-HR"/>
        </w:rPr>
        <w:t xml:space="preserve"> moglo jamčiti da su osobe koje obavljaju taj posao doista kvalificirane i </w:t>
      </w:r>
      <w:r w:rsidR="00C00481">
        <w:rPr>
          <w:szCs w:val="24"/>
          <w:lang w:val="hr-HR"/>
        </w:rPr>
        <w:t>sposobne</w:t>
      </w:r>
      <w:r w:rsidR="004A567F">
        <w:rPr>
          <w:szCs w:val="24"/>
          <w:lang w:val="hr-HR"/>
        </w:rPr>
        <w:t>. Ne predstavlja velik log</w:t>
      </w:r>
      <w:r w:rsidR="00C00481">
        <w:rPr>
          <w:szCs w:val="24"/>
          <w:lang w:val="hr-HR"/>
        </w:rPr>
        <w:t>ički skok prihvatiti, barem u na</w:t>
      </w:r>
      <w:r w:rsidR="004A567F">
        <w:rPr>
          <w:szCs w:val="24"/>
          <w:lang w:val="hr-HR"/>
        </w:rPr>
        <w:t xml:space="preserve">čelu, mogućnost da propisujući konkretne kriterije za određivanje naknade </w:t>
      </w:r>
      <w:r w:rsidR="00C00481">
        <w:rPr>
          <w:szCs w:val="24"/>
          <w:lang w:val="hr-HR"/>
        </w:rPr>
        <w:t xml:space="preserve">koju obračunavaju njihovi članovi, udruga doista djeluju unutar okvira svoje izvorne uloge. Da li je takva mjera primjerena i proporcionalna proklamiranom cilju je drugo, nužno činjenično pitanje. </w:t>
      </w:r>
    </w:p>
    <w:p w:rsidR="004A567F" w:rsidRPr="004A567F" w:rsidRDefault="004A567F" w:rsidP="00D221CD">
      <w:pPr>
        <w:spacing w:line="480" w:lineRule="auto"/>
        <w:ind w:firstLine="502"/>
        <w:rPr>
          <w:szCs w:val="24"/>
          <w:lang w:val="hr-HR"/>
        </w:rPr>
      </w:pPr>
      <w:r w:rsidRPr="00C00481">
        <w:rPr>
          <w:szCs w:val="24"/>
          <w:lang w:val="hr-HR"/>
        </w:rPr>
        <w:t xml:space="preserve">Na </w:t>
      </w:r>
      <w:r>
        <w:rPr>
          <w:szCs w:val="24"/>
          <w:lang w:val="hr-HR"/>
        </w:rPr>
        <w:t xml:space="preserve">taj način se može čitati i presuda u </w:t>
      </w:r>
      <w:proofErr w:type="spellStart"/>
      <w:r>
        <w:rPr>
          <w:i/>
          <w:szCs w:val="24"/>
          <w:lang w:val="hr-HR"/>
        </w:rPr>
        <w:t>Pierre</w:t>
      </w:r>
      <w:proofErr w:type="spellEnd"/>
      <w:r>
        <w:rPr>
          <w:i/>
          <w:szCs w:val="24"/>
          <w:lang w:val="hr-HR"/>
        </w:rPr>
        <w:t xml:space="preserve"> </w:t>
      </w:r>
      <w:proofErr w:type="spellStart"/>
      <w:r>
        <w:rPr>
          <w:i/>
          <w:szCs w:val="24"/>
          <w:lang w:val="hr-HR"/>
        </w:rPr>
        <w:t>Fabre</w:t>
      </w:r>
      <w:proofErr w:type="spellEnd"/>
      <w:r>
        <w:rPr>
          <w:i/>
          <w:szCs w:val="24"/>
          <w:lang w:val="hr-HR"/>
        </w:rPr>
        <w:t xml:space="preserve">. </w:t>
      </w:r>
      <w:r>
        <w:rPr>
          <w:szCs w:val="24"/>
          <w:lang w:val="hr-HR"/>
        </w:rPr>
        <w:t xml:space="preserve">Sud je </w:t>
      </w:r>
      <w:r w:rsidR="00C00481">
        <w:rPr>
          <w:szCs w:val="24"/>
          <w:lang w:val="hr-HR"/>
        </w:rPr>
        <w:t xml:space="preserve">nije prihvatio da je zabrana Internet prodaje </w:t>
      </w:r>
      <w:proofErr w:type="spellStart"/>
      <w:r w:rsidR="00C00481">
        <w:rPr>
          <w:szCs w:val="24"/>
          <w:lang w:val="hr-HR"/>
        </w:rPr>
        <w:t>preparativne</w:t>
      </w:r>
      <w:proofErr w:type="spellEnd"/>
      <w:r w:rsidR="00C00481">
        <w:rPr>
          <w:szCs w:val="24"/>
          <w:lang w:val="hr-HR"/>
        </w:rPr>
        <w:t xml:space="preserve"> kozmetike mjera za zaštitu zdravlja potrošača jer se ne radi o lijekovima. Što je lijek je određeno nacionalnim propisi</w:t>
      </w:r>
      <w:r w:rsidR="00D221CD">
        <w:rPr>
          <w:szCs w:val="24"/>
          <w:lang w:val="hr-HR"/>
        </w:rPr>
        <w:t>ma s obzirom na funkciju</w:t>
      </w:r>
      <w:r w:rsidR="00C00481">
        <w:rPr>
          <w:szCs w:val="24"/>
          <w:lang w:val="hr-HR"/>
        </w:rPr>
        <w:t xml:space="preserve"> i karakteristike proizvoda. Drugim riječima, u </w:t>
      </w:r>
      <w:proofErr w:type="spellStart"/>
      <w:r w:rsidR="00C00481">
        <w:rPr>
          <w:szCs w:val="24"/>
          <w:lang w:val="hr-HR"/>
        </w:rPr>
        <w:t>Pierre</w:t>
      </w:r>
      <w:proofErr w:type="spellEnd"/>
      <w:r w:rsidR="00C00481">
        <w:rPr>
          <w:szCs w:val="24"/>
          <w:lang w:val="hr-HR"/>
        </w:rPr>
        <w:t xml:space="preserve"> </w:t>
      </w:r>
      <w:proofErr w:type="spellStart"/>
      <w:r w:rsidR="00C00481">
        <w:rPr>
          <w:szCs w:val="24"/>
          <w:lang w:val="hr-HR"/>
        </w:rPr>
        <w:t>Fabre</w:t>
      </w:r>
      <w:proofErr w:type="spellEnd"/>
      <w:r w:rsidR="00C00481">
        <w:rPr>
          <w:szCs w:val="24"/>
          <w:lang w:val="hr-HR"/>
        </w:rPr>
        <w:t xml:space="preserve"> nije </w:t>
      </w:r>
      <w:r>
        <w:rPr>
          <w:szCs w:val="24"/>
          <w:lang w:val="hr-HR"/>
        </w:rPr>
        <w:t xml:space="preserve">postojao javni propis koji bi utvrdio da </w:t>
      </w:r>
      <w:r w:rsidR="00C00481">
        <w:rPr>
          <w:szCs w:val="24"/>
          <w:lang w:val="hr-HR"/>
        </w:rPr>
        <w:t>proizvodi poput tih doista mogu imati značajan utjecaj na zdravlje potrošača da je individualan savjet nužan za njihovu zaštitu.</w:t>
      </w:r>
    </w:p>
    <w:p w:rsidR="00851E7F" w:rsidRDefault="004F76BF" w:rsidP="004F76BF">
      <w:pPr>
        <w:pStyle w:val="Naslov1"/>
        <w:numPr>
          <w:ilvl w:val="0"/>
          <w:numId w:val="9"/>
        </w:numPr>
        <w:rPr>
          <w:lang w:val="hr-HR"/>
        </w:rPr>
      </w:pPr>
      <w:r>
        <w:rPr>
          <w:lang w:val="hr-HR"/>
        </w:rPr>
        <w:t>Strukturirani pristup utvrđivanju protu-tržišnog cilja</w:t>
      </w:r>
    </w:p>
    <w:p w:rsidR="004F76BF" w:rsidRDefault="004F76BF" w:rsidP="004F76BF">
      <w:pPr>
        <w:spacing w:line="480" w:lineRule="auto"/>
        <w:rPr>
          <w:lang w:val="hr-HR"/>
        </w:rPr>
      </w:pPr>
    </w:p>
    <w:p w:rsidR="004F76BF" w:rsidRDefault="004F76BF" w:rsidP="004F76BF">
      <w:pPr>
        <w:spacing w:line="480" w:lineRule="auto"/>
        <w:rPr>
          <w:lang w:val="hr-HR"/>
        </w:rPr>
      </w:pPr>
      <w:r>
        <w:rPr>
          <w:lang w:val="hr-HR"/>
        </w:rPr>
        <w:t xml:space="preserve">U poglavljima IV. I V. bilo je govora o načinu utvrđivanja protu-tržišnog cilja. Postignut je zaključak da se kategorija ograničenja po cilju ne može svesti samo na površnu analizu formalnog sadržaja sporazuma. Sud je u nizu predmeta odstupio od apstraktne procjene i analizirao sporazum u njegovom pravnom i ekonomskom kontekstu. Bilo bi nepraktično i logički pogrešno sve primjere iz poglavlja V. smatrati iznimkama uvjetovanim iznimnim činjeničnim okolnostima. </w:t>
      </w:r>
      <w:r w:rsidR="00555E5C">
        <w:rPr>
          <w:lang w:val="hr-HR"/>
        </w:rPr>
        <w:t xml:space="preserve">Takvo stajalište bi nužno značilo da Komisija i druge nadležne institucije imaju neograničeno pravo diskrecije pri primjeni pravila tržišnog natjecanja. </w:t>
      </w:r>
      <w:r>
        <w:rPr>
          <w:lang w:val="hr-HR"/>
        </w:rPr>
        <w:t xml:space="preserve">Pravilo koje ima toliko iznimki gubi svoju svrsishodnost i dovodi u pitanje pravnu sigurnost na tržištu. </w:t>
      </w:r>
      <w:r w:rsidR="00555E5C">
        <w:rPr>
          <w:lang w:val="hr-HR"/>
        </w:rPr>
        <w:t>Stoga se predlaže primjena strukturiranog pristupa pri utvrđivanju protu-tržnog cilja sporazuma.</w:t>
      </w:r>
    </w:p>
    <w:p w:rsidR="00555E5C" w:rsidRDefault="00555E5C" w:rsidP="004F76BF">
      <w:pPr>
        <w:spacing w:line="480" w:lineRule="auto"/>
        <w:rPr>
          <w:lang w:val="hr-HR"/>
        </w:rPr>
      </w:pPr>
      <w:r>
        <w:rPr>
          <w:lang w:val="hr-HR"/>
        </w:rPr>
        <w:lastRenderedPageBreak/>
        <w:t xml:space="preserve">Prvi korak je utvrđivanje </w:t>
      </w:r>
      <w:r>
        <w:rPr>
          <w:i/>
          <w:lang w:val="hr-HR"/>
        </w:rPr>
        <w:t xml:space="preserve">prima </w:t>
      </w:r>
      <w:proofErr w:type="spellStart"/>
      <w:r>
        <w:rPr>
          <w:i/>
          <w:lang w:val="hr-HR"/>
        </w:rPr>
        <w:t>facie</w:t>
      </w:r>
      <w:proofErr w:type="spellEnd"/>
      <w:r>
        <w:rPr>
          <w:i/>
          <w:lang w:val="hr-HR"/>
        </w:rPr>
        <w:t xml:space="preserve"> </w:t>
      </w:r>
      <w:r>
        <w:rPr>
          <w:lang w:val="hr-HR"/>
        </w:rPr>
        <w:t>ograničenja, dok je drugi korak utvrđivanje ekonomskog i pravnog konteksta koji može dovesti u sumnju prvotnu presumpciju.</w:t>
      </w:r>
    </w:p>
    <w:p w:rsidR="00555E5C" w:rsidRDefault="00555E5C" w:rsidP="004F76BF">
      <w:pPr>
        <w:spacing w:line="480" w:lineRule="auto"/>
        <w:rPr>
          <w:lang w:val="hr-HR"/>
        </w:rPr>
      </w:pPr>
      <w:r>
        <w:rPr>
          <w:lang w:val="hr-HR"/>
        </w:rPr>
        <w:t>Prvi korak je neminovno</w:t>
      </w:r>
      <w:r w:rsidR="00746C3D">
        <w:rPr>
          <w:lang w:val="hr-HR"/>
        </w:rPr>
        <w:t xml:space="preserve"> utvrđivanje sadržaja sporazuma, odluke udruženja poduzetnika i usklađenog ponašanja.</w:t>
      </w:r>
      <w:r>
        <w:rPr>
          <w:lang w:val="hr-HR"/>
        </w:rPr>
        <w:t xml:space="preserve"> Nužno je ponajprije znati što su stranke dogovorile, </w:t>
      </w:r>
      <w:r w:rsidR="00746C3D">
        <w:rPr>
          <w:lang w:val="hr-HR"/>
        </w:rPr>
        <w:t>a kontekstu usklađenog ponašanja i kakva je priroda</w:t>
      </w:r>
      <w:r>
        <w:rPr>
          <w:lang w:val="hr-HR"/>
        </w:rPr>
        <w:t xml:space="preserve"> i</w:t>
      </w:r>
      <w:r w:rsidR="00746C3D">
        <w:rPr>
          <w:lang w:val="hr-HR"/>
        </w:rPr>
        <w:t xml:space="preserve">nformacija koje su razmijenile. Ukoliko sadržaj sporazuma se može svesti na jedan od kategorija sporazuma koje je sudska praksa do sada redovito tretirala kao ograničenje po cilju, stvara se prima </w:t>
      </w:r>
      <w:proofErr w:type="spellStart"/>
      <w:r w:rsidR="00746C3D">
        <w:rPr>
          <w:lang w:val="hr-HR"/>
        </w:rPr>
        <w:t>facie</w:t>
      </w:r>
      <w:proofErr w:type="spellEnd"/>
      <w:r w:rsidR="00746C3D">
        <w:rPr>
          <w:lang w:val="hr-HR"/>
        </w:rPr>
        <w:t xml:space="preserve"> presumpcija.</w:t>
      </w:r>
      <w:r>
        <w:rPr>
          <w:lang w:val="hr-HR"/>
        </w:rPr>
        <w:t xml:space="preserve"> Pri tome, pozornost se obraća i na način na koji se sporazum primjenjuje u svom ekonomskom kontekstu. Naime, kao što smo vidjeli iz predmeta </w:t>
      </w:r>
      <w:proofErr w:type="spellStart"/>
      <w:r>
        <w:rPr>
          <w:i/>
          <w:lang w:val="hr-HR"/>
        </w:rPr>
        <w:t>IAZ</w:t>
      </w:r>
      <w:proofErr w:type="spellEnd"/>
      <w:r>
        <w:rPr>
          <w:i/>
          <w:lang w:val="hr-HR"/>
        </w:rPr>
        <w:t xml:space="preserve">, </w:t>
      </w:r>
      <w:r>
        <w:rPr>
          <w:lang w:val="hr-HR"/>
        </w:rPr>
        <w:t>naoko neutralan sporazum može se primjenjivati na restriktivan način. U ovom dijelu je korisno uzeti u obzir i subjektivnu namjeru stranaka. Naime, iako se stranke ne mogu pozivati na izostanak subjektivne namjere kao opravdanje, subjektivna namjera može ukazivati na to kako će se sporazum u praksi primjenjivati, a time da li će ograničiti natjecanje na tržištu.</w:t>
      </w:r>
      <w:r w:rsidR="00746C3D">
        <w:rPr>
          <w:lang w:val="hr-HR"/>
        </w:rPr>
        <w:t xml:space="preserve"> </w:t>
      </w:r>
    </w:p>
    <w:p w:rsidR="00555E5C" w:rsidRDefault="00555E5C" w:rsidP="004F76BF">
      <w:pPr>
        <w:spacing w:line="480" w:lineRule="auto"/>
        <w:rPr>
          <w:lang w:val="hr-HR"/>
        </w:rPr>
      </w:pPr>
      <w:r>
        <w:rPr>
          <w:lang w:val="hr-HR"/>
        </w:rPr>
        <w:t xml:space="preserve">Drugi korak, je utvrđivanje okolnosti koje mogu dovesti u sumnju presumpciju nužno restriktivnih učinaka. </w:t>
      </w:r>
      <w:r w:rsidR="00746C3D">
        <w:rPr>
          <w:lang w:val="hr-HR"/>
        </w:rPr>
        <w:t xml:space="preserve">Potrebno je utvrditi da li sporazum je objektivno nužan nekoj legitimnog poslovnoj svrsi. Kao što proizlati iz prethodnih poglavlja, Sud je redovito uzimao u obzir racionalne poslovne svrhe pri utvrđivanju cilja predmetnog sporazuma. </w:t>
      </w:r>
    </w:p>
    <w:p w:rsidR="00746C3D" w:rsidRDefault="00746C3D" w:rsidP="004F76BF">
      <w:pPr>
        <w:spacing w:line="480" w:lineRule="auto"/>
        <w:rPr>
          <w:lang w:val="hr-HR"/>
        </w:rPr>
      </w:pPr>
      <w:r>
        <w:rPr>
          <w:lang w:val="hr-HR"/>
        </w:rPr>
        <w:t xml:space="preserve">Međutim, stajališta smo da nije od presudne važnosti što se utvrđuje, već i tko snosi teret dokazivanja. Naime, prema činjenice treba dokazati onaj koji tvrdi njihovo postojanje. Teret dokaza povrede članka 101(1) </w:t>
      </w:r>
      <w:proofErr w:type="spellStart"/>
      <w:r>
        <w:rPr>
          <w:lang w:val="hr-HR"/>
        </w:rPr>
        <w:t>UFEU</w:t>
      </w:r>
      <w:proofErr w:type="spellEnd"/>
      <w:r>
        <w:rPr>
          <w:lang w:val="hr-HR"/>
        </w:rPr>
        <w:t xml:space="preserve"> je na Komisiji, odnosno nacionalnom tijelu ili privatnom tužitelju. Znači li to da Komisija nužno mora uzeti u obzir i one okolnosti koje bi mogle dovesti u pitanje opravdanost </w:t>
      </w:r>
      <w:r>
        <w:rPr>
          <w:i/>
          <w:lang w:val="hr-HR"/>
        </w:rPr>
        <w:t xml:space="preserve">prima </w:t>
      </w:r>
      <w:proofErr w:type="spellStart"/>
      <w:r>
        <w:rPr>
          <w:i/>
          <w:lang w:val="hr-HR"/>
        </w:rPr>
        <w:t>facie</w:t>
      </w:r>
      <w:proofErr w:type="spellEnd"/>
      <w:r>
        <w:rPr>
          <w:i/>
          <w:lang w:val="hr-HR"/>
        </w:rPr>
        <w:t xml:space="preserve"> presumpcije? </w:t>
      </w:r>
      <w:r>
        <w:rPr>
          <w:lang w:val="hr-HR"/>
        </w:rPr>
        <w:t xml:space="preserve">Treba li Komisija identificirati potencijalno legitiman cilj sporazuma i utvrditi da li je ograničenje tržišnog natjecanja objektivno nužno za njegovo ostvarenje? </w:t>
      </w:r>
      <w:r w:rsidR="00010A0B">
        <w:rPr>
          <w:lang w:val="hr-HR"/>
        </w:rPr>
        <w:t xml:space="preserve">Ukoliko tako postavimo problematiku dolazimo do </w:t>
      </w:r>
      <w:r w:rsidR="00010A0B">
        <w:rPr>
          <w:lang w:val="hr-HR"/>
        </w:rPr>
        <w:lastRenderedPageBreak/>
        <w:t>vrlo apsurdnih, ali mogućih praktičnih problema. Ako Komisija ne bi adekvatno utvrdila sve moguće ciljeva sporazuma, da li bi njena čitava odluka mogla biti pravno nevaljana zbog nepotpuno utvrđenog činjeničnog stanja?</w:t>
      </w:r>
    </w:p>
    <w:p w:rsidR="00010A0B" w:rsidRPr="00746C3D" w:rsidRDefault="00010A0B" w:rsidP="004F76BF">
      <w:pPr>
        <w:spacing w:line="480" w:lineRule="auto"/>
        <w:rPr>
          <w:lang w:val="hr-HR"/>
        </w:rPr>
      </w:pPr>
      <w:r>
        <w:rPr>
          <w:lang w:val="hr-HR"/>
        </w:rPr>
        <w:t>Smatra se da za razrješenje te l</w:t>
      </w:r>
      <w:r w:rsidR="003B36F0">
        <w:rPr>
          <w:lang w:val="hr-HR"/>
        </w:rPr>
        <w:t>ogičke zavrzlame je dovoljno jasno</w:t>
      </w:r>
      <w:r>
        <w:rPr>
          <w:lang w:val="hr-HR"/>
        </w:rPr>
        <w:t xml:space="preserve"> razlikovati teret dokaza (</w:t>
      </w:r>
      <w:proofErr w:type="spellStart"/>
      <w:r>
        <w:rPr>
          <w:i/>
          <w:lang w:val="hr-HR"/>
        </w:rPr>
        <w:t>Burden</w:t>
      </w:r>
      <w:proofErr w:type="spellEnd"/>
      <w:r>
        <w:rPr>
          <w:i/>
          <w:lang w:val="hr-HR"/>
        </w:rPr>
        <w:t xml:space="preserve"> </w:t>
      </w:r>
      <w:proofErr w:type="spellStart"/>
      <w:r>
        <w:rPr>
          <w:i/>
          <w:lang w:val="hr-HR"/>
        </w:rPr>
        <w:t>of</w:t>
      </w:r>
      <w:proofErr w:type="spellEnd"/>
      <w:r>
        <w:rPr>
          <w:i/>
          <w:lang w:val="hr-HR"/>
        </w:rPr>
        <w:t xml:space="preserve"> </w:t>
      </w:r>
      <w:proofErr w:type="spellStart"/>
      <w:r>
        <w:rPr>
          <w:i/>
          <w:lang w:val="hr-HR"/>
        </w:rPr>
        <w:t>proof</w:t>
      </w:r>
      <w:proofErr w:type="spellEnd"/>
      <w:r>
        <w:rPr>
          <w:i/>
          <w:lang w:val="hr-HR"/>
        </w:rPr>
        <w:t xml:space="preserve">) </w:t>
      </w:r>
      <w:r>
        <w:rPr>
          <w:lang w:val="hr-HR"/>
        </w:rPr>
        <w:t>od dokaznog tereta</w:t>
      </w:r>
      <w:r w:rsidR="003B36F0">
        <w:rPr>
          <w:lang w:val="hr-HR"/>
        </w:rPr>
        <w:t xml:space="preserve"> </w:t>
      </w:r>
      <w:r>
        <w:rPr>
          <w:lang w:val="hr-HR"/>
        </w:rPr>
        <w:t>(</w:t>
      </w:r>
      <w:proofErr w:type="spellStart"/>
      <w:r>
        <w:rPr>
          <w:lang w:val="hr-HR"/>
        </w:rPr>
        <w:t>evidentiary</w:t>
      </w:r>
      <w:proofErr w:type="spellEnd"/>
      <w:r>
        <w:rPr>
          <w:lang w:val="hr-HR"/>
        </w:rPr>
        <w:t xml:space="preserve"> </w:t>
      </w:r>
      <w:proofErr w:type="spellStart"/>
      <w:r>
        <w:rPr>
          <w:lang w:val="hr-HR"/>
        </w:rPr>
        <w:t>burden</w:t>
      </w:r>
      <w:proofErr w:type="spellEnd"/>
      <w:r>
        <w:rPr>
          <w:lang w:val="hr-HR"/>
        </w:rPr>
        <w:t>)</w:t>
      </w:r>
      <w:r w:rsidR="003B36F0">
        <w:rPr>
          <w:rStyle w:val="Referencafusnote"/>
          <w:lang w:val="hr-HR"/>
        </w:rPr>
        <w:footnoteReference w:id="93"/>
      </w:r>
      <w:r>
        <w:rPr>
          <w:lang w:val="hr-HR"/>
        </w:rPr>
        <w:t xml:space="preserve">. </w:t>
      </w:r>
      <w:r w:rsidR="003B36F0">
        <w:rPr>
          <w:lang w:val="hr-HR"/>
        </w:rPr>
        <w:t xml:space="preserve">Naime, na Komisije je pravni teret dokazivanja da sporazum ima za cilj ograničenje tržišnog natjecanja. No, na svakoj strani može biti dokazni teret, tj. Ona </w:t>
      </w:r>
      <w:proofErr w:type="spellStart"/>
      <w:r w:rsidR="003B36F0">
        <w:rPr>
          <w:lang w:val="hr-HR"/>
        </w:rPr>
        <w:t>stranak</w:t>
      </w:r>
      <w:proofErr w:type="spellEnd"/>
      <w:r w:rsidR="003B36F0">
        <w:rPr>
          <w:lang w:val="hr-HR"/>
        </w:rPr>
        <w:t xml:space="preserve"> koja se poziva na određenu činjenicu je mora i dokazati. U predmetu </w:t>
      </w:r>
      <w:proofErr w:type="spellStart"/>
      <w:r w:rsidR="003B36F0">
        <w:rPr>
          <w:i/>
          <w:lang w:val="hr-HR"/>
        </w:rPr>
        <w:t>Plasterboard</w:t>
      </w:r>
      <w:proofErr w:type="spellEnd"/>
      <w:r w:rsidR="003B36F0">
        <w:rPr>
          <w:i/>
          <w:lang w:val="hr-HR"/>
        </w:rPr>
        <w:t xml:space="preserve">, </w:t>
      </w:r>
      <w:r w:rsidR="003B36F0">
        <w:rPr>
          <w:lang w:val="hr-HR"/>
        </w:rPr>
        <w:t>Sud je istaknuo da “i kada je teret dokaza na Komisiji(…) dokaz na koji se poziva [</w:t>
      </w:r>
      <w:proofErr w:type="spellStart"/>
      <w:r w:rsidR="003B36F0">
        <w:rPr>
          <w:lang w:val="hr-HR"/>
        </w:rPr>
        <w:t>Komisja</w:t>
      </w:r>
      <w:proofErr w:type="spellEnd"/>
      <w:r w:rsidR="003B36F0">
        <w:rPr>
          <w:lang w:val="hr-HR"/>
        </w:rPr>
        <w:t>] može biti takve prirode da zahtijeva od druge strane da podnese objašnjenje ili opravdanje.”</w:t>
      </w:r>
      <w:r w:rsidR="003B36F0">
        <w:rPr>
          <w:rStyle w:val="Referencafusnote"/>
          <w:lang w:val="hr-HR"/>
        </w:rPr>
        <w:footnoteReference w:id="94"/>
      </w:r>
    </w:p>
    <w:p w:rsidR="00555E5C" w:rsidRPr="00555E5C" w:rsidRDefault="00555E5C" w:rsidP="004F76BF">
      <w:pPr>
        <w:spacing w:line="480" w:lineRule="auto"/>
        <w:rPr>
          <w:lang w:val="hr-HR"/>
        </w:rPr>
      </w:pPr>
    </w:p>
    <w:p w:rsidR="00121C50" w:rsidRPr="008C78FC" w:rsidRDefault="00121C50" w:rsidP="001C085A">
      <w:pPr>
        <w:pStyle w:val="Naslov1"/>
        <w:numPr>
          <w:ilvl w:val="0"/>
          <w:numId w:val="9"/>
        </w:numPr>
        <w:rPr>
          <w:rFonts w:ascii="Times New Roman" w:hAnsi="Times New Roman" w:cs="Times New Roman"/>
          <w:lang w:val="hr-HR"/>
        </w:rPr>
      </w:pPr>
      <w:bookmarkStart w:id="14" w:name="_Toc381547538"/>
      <w:r w:rsidRPr="008C78FC">
        <w:rPr>
          <w:rFonts w:ascii="Times New Roman" w:hAnsi="Times New Roman" w:cs="Times New Roman"/>
          <w:lang w:val="hr-HR"/>
        </w:rPr>
        <w:t>Proširenje kategorije ograničenja prema cilju</w:t>
      </w:r>
      <w:bookmarkEnd w:id="14"/>
    </w:p>
    <w:p w:rsidR="00886B9E" w:rsidRPr="008C78FC" w:rsidRDefault="00886B9E" w:rsidP="00886B9E">
      <w:pPr>
        <w:ind w:left="360"/>
        <w:rPr>
          <w:lang w:val="hr-HR"/>
        </w:rPr>
      </w:pPr>
    </w:p>
    <w:p w:rsidR="00E91A90" w:rsidRPr="008C78FC" w:rsidRDefault="004F61F1" w:rsidP="00E91A90">
      <w:pPr>
        <w:spacing w:line="480" w:lineRule="auto"/>
        <w:ind w:firstLine="360"/>
        <w:rPr>
          <w:szCs w:val="24"/>
          <w:lang w:val="hr-HR"/>
        </w:rPr>
      </w:pPr>
      <w:r w:rsidRPr="008C78FC">
        <w:rPr>
          <w:szCs w:val="24"/>
          <w:lang w:val="hr-HR"/>
        </w:rPr>
        <w:t>U prethodnom poglavlju bilo je govora o kategorijama sporazuma koje su europski sudovi tretirali kao ograničenje po cilju.</w:t>
      </w:r>
      <w:r w:rsidR="00E91A90" w:rsidRPr="008C78FC">
        <w:rPr>
          <w:szCs w:val="24"/>
          <w:lang w:val="hr-HR"/>
        </w:rPr>
        <w:t xml:space="preserve">  Važno je napomenuti da u svim tim slučajevima prvi korak je bila analiza sadržaja sporazuma. Prima </w:t>
      </w:r>
      <w:proofErr w:type="spellStart"/>
      <w:r w:rsidR="00E91A90" w:rsidRPr="008C78FC">
        <w:rPr>
          <w:szCs w:val="24"/>
          <w:lang w:val="hr-HR"/>
        </w:rPr>
        <w:t>facie</w:t>
      </w:r>
      <w:proofErr w:type="spellEnd"/>
      <w:r w:rsidR="00E91A90" w:rsidRPr="008C78FC">
        <w:rPr>
          <w:szCs w:val="24"/>
          <w:lang w:val="hr-HR"/>
        </w:rPr>
        <w:t xml:space="preserve"> presumpcija ograničenje tržišnog </w:t>
      </w:r>
      <w:r w:rsidR="00E2629F" w:rsidRPr="008C78FC">
        <w:rPr>
          <w:szCs w:val="24"/>
          <w:lang w:val="hr-HR"/>
        </w:rPr>
        <w:t>natjecanja</w:t>
      </w:r>
      <w:r w:rsidR="00E91A90" w:rsidRPr="008C78FC">
        <w:rPr>
          <w:szCs w:val="24"/>
          <w:lang w:val="hr-HR"/>
        </w:rPr>
        <w:t>. Međutim, i kod ograničenja po cilju analiza protu-tržnog karaktera je kontekstualne a ne u potpunosti apstraktna. U uvodnom dijelu je bilo govora o tome kako se formira katego</w:t>
      </w:r>
      <w:r w:rsidR="00D2224D" w:rsidRPr="008C78FC">
        <w:rPr>
          <w:szCs w:val="24"/>
          <w:lang w:val="hr-HR"/>
        </w:rPr>
        <w:t>rija ograničenja po cilju, tj. k</w:t>
      </w:r>
      <w:r w:rsidR="00E91A90" w:rsidRPr="008C78FC">
        <w:rPr>
          <w:szCs w:val="24"/>
          <w:lang w:val="hr-HR"/>
        </w:rPr>
        <w:t xml:space="preserve">ako se gradi tzv. </w:t>
      </w:r>
      <w:proofErr w:type="spellStart"/>
      <w:r w:rsidR="00E91A90" w:rsidRPr="008C78FC">
        <w:rPr>
          <w:szCs w:val="24"/>
          <w:lang w:val="hr-HR"/>
        </w:rPr>
        <w:t>object</w:t>
      </w:r>
      <w:proofErr w:type="spellEnd"/>
      <w:r w:rsidR="00E91A90" w:rsidRPr="008C78FC">
        <w:rPr>
          <w:szCs w:val="24"/>
          <w:lang w:val="hr-HR"/>
        </w:rPr>
        <w:t xml:space="preserve"> box. Zastupano je da samo Sud Pravde ima </w:t>
      </w:r>
      <w:r w:rsidR="00E2629F" w:rsidRPr="008C78FC">
        <w:rPr>
          <w:szCs w:val="24"/>
          <w:lang w:val="hr-HR"/>
        </w:rPr>
        <w:t>najvišu</w:t>
      </w:r>
      <w:r w:rsidR="00E91A90" w:rsidRPr="008C78FC">
        <w:rPr>
          <w:szCs w:val="24"/>
          <w:lang w:val="hr-HR"/>
        </w:rPr>
        <w:t xml:space="preserve"> ovlast tumačiti značenje ograničenja po cilju i da stoga je samo on u konačnici </w:t>
      </w:r>
      <w:r w:rsidR="00E91A90" w:rsidRPr="008C78FC">
        <w:rPr>
          <w:szCs w:val="24"/>
          <w:lang w:val="hr-HR"/>
        </w:rPr>
        <w:lastRenderedPageBreak/>
        <w:t xml:space="preserve">definitivno odrediti koja vrsta ugovornog ograničenja je sama po svojoj formi da se stvori prima </w:t>
      </w:r>
      <w:proofErr w:type="spellStart"/>
      <w:r w:rsidR="00E91A90" w:rsidRPr="008C78FC">
        <w:rPr>
          <w:szCs w:val="24"/>
          <w:lang w:val="hr-HR"/>
        </w:rPr>
        <w:t>facie</w:t>
      </w:r>
      <w:proofErr w:type="spellEnd"/>
      <w:r w:rsidR="00E91A90" w:rsidRPr="008C78FC">
        <w:rPr>
          <w:szCs w:val="24"/>
          <w:lang w:val="hr-HR"/>
        </w:rPr>
        <w:t xml:space="preserve"> dojam da je nastalo ograničenje tržišnog natjecanja.</w:t>
      </w:r>
    </w:p>
    <w:p w:rsidR="005D6FA8" w:rsidRPr="008C78FC" w:rsidRDefault="00E91A90" w:rsidP="008B657C">
      <w:pPr>
        <w:spacing w:line="480" w:lineRule="auto"/>
        <w:ind w:firstLine="360"/>
        <w:rPr>
          <w:szCs w:val="24"/>
          <w:lang w:val="hr-HR"/>
        </w:rPr>
      </w:pPr>
      <w:r w:rsidRPr="008C78FC">
        <w:rPr>
          <w:szCs w:val="24"/>
          <w:lang w:val="hr-HR"/>
        </w:rPr>
        <w:t xml:space="preserve">U ovom poglavlju se obrađuju neke novine u praksi sudova Europske Unije koji uvode novi način utvrđenja protu-tržnog cilja. </w:t>
      </w:r>
      <w:r w:rsidR="003E64E4" w:rsidRPr="008C78FC">
        <w:rPr>
          <w:lang w:val="hr-HR"/>
        </w:rPr>
        <w:t>U presudama</w:t>
      </w:r>
      <w:r w:rsidRPr="008C78FC">
        <w:rPr>
          <w:lang w:val="hr-HR"/>
        </w:rPr>
        <w:t xml:space="preserve"> </w:t>
      </w:r>
      <w:proofErr w:type="spellStart"/>
      <w:r w:rsidRPr="008C78FC">
        <w:rPr>
          <w:i/>
          <w:lang w:val="hr-HR"/>
        </w:rPr>
        <w:t>BIDS</w:t>
      </w:r>
      <w:proofErr w:type="spellEnd"/>
      <w:r w:rsidRPr="008C78FC">
        <w:rPr>
          <w:i/>
          <w:lang w:val="hr-HR"/>
        </w:rPr>
        <w:t>, T-</w:t>
      </w:r>
      <w:proofErr w:type="spellStart"/>
      <w:r w:rsidRPr="008C78FC">
        <w:rPr>
          <w:i/>
          <w:lang w:val="hr-HR"/>
        </w:rPr>
        <w:t>mobile</w:t>
      </w:r>
      <w:proofErr w:type="spellEnd"/>
      <w:r w:rsidRPr="008C78FC">
        <w:rPr>
          <w:i/>
          <w:lang w:val="hr-HR"/>
        </w:rPr>
        <w:t xml:space="preserve"> i Allianz </w:t>
      </w:r>
      <w:proofErr w:type="spellStart"/>
      <w:r w:rsidRPr="008C78FC">
        <w:rPr>
          <w:i/>
          <w:lang w:val="hr-HR"/>
        </w:rPr>
        <w:t>Hungaria</w:t>
      </w:r>
      <w:proofErr w:type="spellEnd"/>
      <w:r w:rsidR="00D2224D" w:rsidRPr="008C78FC">
        <w:rPr>
          <w:lang w:val="hr-HR"/>
        </w:rPr>
        <w:t xml:space="preserve"> </w:t>
      </w:r>
      <w:r w:rsidR="003E64E4" w:rsidRPr="008C78FC">
        <w:rPr>
          <w:lang w:val="hr-HR"/>
        </w:rPr>
        <w:t>Sud je istaknuo</w:t>
      </w:r>
      <w:r w:rsidR="009E3578" w:rsidRPr="008C78FC">
        <w:rPr>
          <w:lang w:val="hr-HR"/>
        </w:rPr>
        <w:t xml:space="preserve"> da se koncept ‘ograničenja po cilju’ ne može o</w:t>
      </w:r>
      <w:r w:rsidR="002E26C6" w:rsidRPr="008C78FC">
        <w:rPr>
          <w:lang w:val="hr-HR"/>
        </w:rPr>
        <w:t>graničiti na definitivnu listu</w:t>
      </w:r>
      <w:r w:rsidR="002E26C6" w:rsidRPr="008C78FC">
        <w:rPr>
          <w:szCs w:val="24"/>
          <w:lang w:val="hr-HR"/>
        </w:rPr>
        <w:t xml:space="preserve"> </w:t>
      </w:r>
      <w:r w:rsidR="009E3578" w:rsidRPr="008C78FC">
        <w:rPr>
          <w:szCs w:val="24"/>
          <w:lang w:val="hr-HR"/>
        </w:rPr>
        <w:t xml:space="preserve">Neosporno je da ograničenje po cilju nisu samo očita ograničenja tržišnog natjecanja koja je definirao Sud Prve Instance u predmetu </w:t>
      </w:r>
      <w:proofErr w:type="spellStart"/>
      <w:r w:rsidR="002E26C6" w:rsidRPr="008C78FC">
        <w:rPr>
          <w:i/>
          <w:szCs w:val="24"/>
          <w:lang w:val="hr-HR"/>
        </w:rPr>
        <w:t>Europen</w:t>
      </w:r>
      <w:r w:rsidR="009E3578" w:rsidRPr="008C78FC">
        <w:rPr>
          <w:i/>
          <w:szCs w:val="24"/>
          <w:lang w:val="hr-HR"/>
        </w:rPr>
        <w:t>NightServices</w:t>
      </w:r>
      <w:proofErr w:type="spellEnd"/>
      <w:r w:rsidR="009E3578" w:rsidRPr="008C78FC">
        <w:rPr>
          <w:i/>
          <w:szCs w:val="24"/>
          <w:lang w:val="hr-HR"/>
        </w:rPr>
        <w:t xml:space="preserve">. </w:t>
      </w:r>
      <w:r w:rsidR="009E3578" w:rsidRPr="008C78FC">
        <w:rPr>
          <w:szCs w:val="24"/>
          <w:lang w:val="hr-HR"/>
        </w:rPr>
        <w:t>No, ukoliko samom analizom sadržaja sporazuma nije moguće utvrditi da li se doista radi o ograničenju po cilju, kojom metodom nadležno</w:t>
      </w:r>
      <w:r w:rsidR="008B657C" w:rsidRPr="008C78FC">
        <w:rPr>
          <w:szCs w:val="24"/>
          <w:lang w:val="hr-HR"/>
        </w:rPr>
        <w:t xml:space="preserve"> tijelo može doći do odgovora? </w:t>
      </w:r>
    </w:p>
    <w:p w:rsidR="009D2CF4" w:rsidRPr="008C78FC" w:rsidRDefault="00555067" w:rsidP="009E18C5">
      <w:pPr>
        <w:pStyle w:val="Naslov2"/>
        <w:rPr>
          <w:rFonts w:ascii="Times New Roman" w:hAnsi="Times New Roman" w:cs="Times New Roman"/>
          <w:lang w:val="hr-HR"/>
        </w:rPr>
      </w:pPr>
      <w:bookmarkStart w:id="15" w:name="_Toc381547539"/>
      <w:r w:rsidRPr="008C78FC">
        <w:rPr>
          <w:rFonts w:ascii="Times New Roman" w:hAnsi="Times New Roman" w:cs="Times New Roman"/>
          <w:lang w:val="hr-HR"/>
        </w:rPr>
        <w:t xml:space="preserve">Allianz </w:t>
      </w:r>
      <w:proofErr w:type="spellStart"/>
      <w:r w:rsidRPr="008C78FC">
        <w:rPr>
          <w:rFonts w:ascii="Times New Roman" w:hAnsi="Times New Roman" w:cs="Times New Roman"/>
          <w:lang w:val="hr-HR"/>
        </w:rPr>
        <w:t>Hungaria</w:t>
      </w:r>
      <w:bookmarkEnd w:id="15"/>
      <w:proofErr w:type="spellEnd"/>
    </w:p>
    <w:p w:rsidR="009E18C5" w:rsidRDefault="009E18C5" w:rsidP="009D2CF4">
      <w:pPr>
        <w:spacing w:line="480" w:lineRule="auto"/>
        <w:ind w:firstLine="708"/>
        <w:rPr>
          <w:szCs w:val="24"/>
          <w:lang w:val="hr-HR"/>
        </w:rPr>
      </w:pPr>
    </w:p>
    <w:p w:rsidR="00555067" w:rsidRPr="008C78FC" w:rsidRDefault="00555067" w:rsidP="009D2CF4">
      <w:pPr>
        <w:spacing w:line="480" w:lineRule="auto"/>
        <w:ind w:firstLine="708"/>
        <w:rPr>
          <w:szCs w:val="24"/>
          <w:lang w:val="hr-HR"/>
        </w:rPr>
      </w:pPr>
      <w:r w:rsidRPr="008C78FC">
        <w:rPr>
          <w:szCs w:val="24"/>
          <w:lang w:val="hr-HR"/>
        </w:rPr>
        <w:t xml:space="preserve">Sud je naglasio da vertikalni ugovori </w:t>
      </w:r>
      <w:r w:rsidR="009D2CF4" w:rsidRPr="008C78FC">
        <w:rPr>
          <w:szCs w:val="24"/>
          <w:lang w:val="hr-HR"/>
        </w:rPr>
        <w:t xml:space="preserve">o popravku osiguranih vozila </w:t>
      </w:r>
      <w:r w:rsidRPr="008C78FC">
        <w:rPr>
          <w:szCs w:val="24"/>
          <w:lang w:val="hr-HR"/>
        </w:rPr>
        <w:t>povezuje dva tržišta – tržište usluga popravlj</w:t>
      </w:r>
      <w:r w:rsidR="009D2CF4" w:rsidRPr="008C78FC">
        <w:rPr>
          <w:szCs w:val="24"/>
          <w:lang w:val="hr-HR"/>
        </w:rPr>
        <w:t>anja vozila i tržište prodaje polica osiguranja vozila</w:t>
      </w:r>
      <w:r w:rsidRPr="008C78FC">
        <w:rPr>
          <w:szCs w:val="24"/>
          <w:lang w:val="hr-HR"/>
        </w:rPr>
        <w:t xml:space="preserve">. Ustanovljenje takve veze među aktivnostima, koje u principu trebaju biti neovisne, ne znači samo po </w:t>
      </w:r>
      <w:r w:rsidR="009D2CF4" w:rsidRPr="008C78FC">
        <w:rPr>
          <w:szCs w:val="24"/>
          <w:lang w:val="hr-HR"/>
        </w:rPr>
        <w:t xml:space="preserve">sebi da ugovori imaju za svoj cilj </w:t>
      </w:r>
      <w:r w:rsidRPr="008C78FC">
        <w:rPr>
          <w:szCs w:val="24"/>
          <w:lang w:val="hr-HR"/>
        </w:rPr>
        <w:t>ograničenje tržišnog natjecanja. No,</w:t>
      </w:r>
      <w:r w:rsidR="009D2CF4" w:rsidRPr="008C78FC">
        <w:rPr>
          <w:szCs w:val="24"/>
          <w:lang w:val="hr-HR"/>
        </w:rPr>
        <w:t xml:space="preserve"> za Sud,</w:t>
      </w:r>
      <w:r w:rsidRPr="008C78FC">
        <w:rPr>
          <w:szCs w:val="24"/>
          <w:lang w:val="hr-HR"/>
        </w:rPr>
        <w:t xml:space="preserve"> ta činjenica je važan faktor pri procjeni da li su sporni ugovori po svojoj prirodi protivni funkcioniranju tržišnog natjecanja.</w:t>
      </w:r>
    </w:p>
    <w:p w:rsidR="00555067" w:rsidRPr="008C78FC" w:rsidRDefault="00555067" w:rsidP="009D2CF4">
      <w:pPr>
        <w:spacing w:line="480" w:lineRule="auto"/>
        <w:ind w:firstLine="708"/>
        <w:rPr>
          <w:szCs w:val="24"/>
          <w:lang w:val="hr-HR"/>
        </w:rPr>
      </w:pPr>
      <w:r w:rsidRPr="008C78FC">
        <w:rPr>
          <w:szCs w:val="24"/>
          <w:lang w:val="hr-HR"/>
        </w:rPr>
        <w:t>Sud je identificirao tri potencijalna problema</w:t>
      </w:r>
      <w:r w:rsidR="009D2CF4" w:rsidRPr="008C78FC">
        <w:rPr>
          <w:szCs w:val="24"/>
          <w:lang w:val="hr-HR"/>
        </w:rPr>
        <w:t xml:space="preserve"> za nesmetano tržišno natjecanje</w:t>
      </w:r>
      <w:r w:rsidRPr="008C78FC">
        <w:rPr>
          <w:szCs w:val="24"/>
          <w:lang w:val="hr-HR"/>
        </w:rPr>
        <w:t>. Prvo, prema navodima mađarske Vlade, nacionalno prvo zahtjeva da prodavači automobila moraju bit</w:t>
      </w:r>
      <w:r w:rsidR="00A31356" w:rsidRPr="008C78FC">
        <w:rPr>
          <w:szCs w:val="24"/>
          <w:lang w:val="hr-HR"/>
        </w:rPr>
        <w:t>i neovisni od osiguravatelja</w:t>
      </w:r>
      <w:r w:rsidRPr="008C78FC">
        <w:rPr>
          <w:szCs w:val="24"/>
          <w:lang w:val="hr-HR"/>
        </w:rPr>
        <w:t>. Naime, oni bi trebali postupati u interesu potencijalnog osigura</w:t>
      </w:r>
      <w:r w:rsidR="009D2CF4" w:rsidRPr="008C78FC">
        <w:rPr>
          <w:szCs w:val="24"/>
          <w:lang w:val="hr-HR"/>
        </w:rPr>
        <w:t>nika, ne osiguravatelja.</w:t>
      </w:r>
      <w:r w:rsidRPr="008C78FC">
        <w:rPr>
          <w:szCs w:val="24"/>
          <w:lang w:val="hr-HR"/>
        </w:rPr>
        <w:t xml:space="preserve"> Međutim, nužno je</w:t>
      </w:r>
      <w:r w:rsidR="009D2CF4" w:rsidRPr="008C78FC">
        <w:rPr>
          <w:szCs w:val="24"/>
          <w:lang w:val="hr-HR"/>
        </w:rPr>
        <w:t xml:space="preserve"> za istaknuti da je prema mađarsko</w:t>
      </w:r>
      <w:r w:rsidR="00D2224D" w:rsidRPr="008C78FC">
        <w:rPr>
          <w:szCs w:val="24"/>
          <w:lang w:val="hr-HR"/>
        </w:rPr>
        <w:t>m</w:t>
      </w:r>
      <w:r w:rsidR="009D2CF4" w:rsidRPr="008C78FC">
        <w:rPr>
          <w:szCs w:val="24"/>
          <w:lang w:val="hr-HR"/>
        </w:rPr>
        <w:t xml:space="preserve"> pravu dozvoljeno da osiguravatelji plaćaju zastupniku za osiguranje.</w:t>
      </w:r>
    </w:p>
    <w:p w:rsidR="00E614C2" w:rsidRDefault="00555067" w:rsidP="001A1125">
      <w:pPr>
        <w:spacing w:line="480" w:lineRule="auto"/>
        <w:ind w:firstLine="708"/>
        <w:rPr>
          <w:szCs w:val="24"/>
          <w:lang w:val="hr-HR"/>
        </w:rPr>
      </w:pPr>
      <w:r w:rsidRPr="008C78FC">
        <w:rPr>
          <w:szCs w:val="24"/>
          <w:lang w:val="hr-HR"/>
        </w:rPr>
        <w:lastRenderedPageBreak/>
        <w:t xml:space="preserve">Drugi problem je bio u činjenici da je </w:t>
      </w:r>
      <w:proofErr w:type="spellStart"/>
      <w:r w:rsidRPr="008C78FC">
        <w:rPr>
          <w:szCs w:val="24"/>
          <w:lang w:val="hr-HR"/>
        </w:rPr>
        <w:t>GEMOSZ</w:t>
      </w:r>
      <w:proofErr w:type="spellEnd"/>
      <w:r w:rsidRPr="008C78FC">
        <w:rPr>
          <w:szCs w:val="24"/>
          <w:lang w:val="hr-HR"/>
        </w:rPr>
        <w:t>, kao udruga poduzetnika, svojom odlukom ustanovio preporučene cijene za popravak automobila. Prema stajalištu Suda, ukoliko bi nacionalni su</w:t>
      </w:r>
      <w:r w:rsidR="009D2CF4" w:rsidRPr="008C78FC">
        <w:rPr>
          <w:szCs w:val="24"/>
          <w:lang w:val="hr-HR"/>
        </w:rPr>
        <w:t>d z</w:t>
      </w:r>
      <w:r w:rsidR="00D2224D" w:rsidRPr="008C78FC">
        <w:rPr>
          <w:szCs w:val="24"/>
          <w:lang w:val="hr-HR"/>
        </w:rPr>
        <w:t xml:space="preserve">aključio da je odluka </w:t>
      </w:r>
      <w:proofErr w:type="spellStart"/>
      <w:r w:rsidR="00D2224D" w:rsidRPr="008C78FC">
        <w:rPr>
          <w:szCs w:val="24"/>
          <w:lang w:val="hr-HR"/>
        </w:rPr>
        <w:t>GEMOSZ</w:t>
      </w:r>
      <w:proofErr w:type="spellEnd"/>
      <w:r w:rsidR="00D2224D" w:rsidRPr="008C78FC">
        <w:rPr>
          <w:szCs w:val="24"/>
          <w:lang w:val="hr-HR"/>
        </w:rPr>
        <w:t>-a,</w:t>
      </w:r>
      <w:r w:rsidR="009D2CF4" w:rsidRPr="008C78FC">
        <w:rPr>
          <w:szCs w:val="24"/>
          <w:lang w:val="hr-HR"/>
        </w:rPr>
        <w:t xml:space="preserve"> kao udruge poduzetnika koji su ujedno i stvarni tržišni konkurenti,</w:t>
      </w:r>
      <w:r w:rsidRPr="008C78FC">
        <w:rPr>
          <w:szCs w:val="24"/>
          <w:lang w:val="hr-HR"/>
        </w:rPr>
        <w:t xml:space="preserve"> imala za svoj cilj ograničenje tržišnog natje</w:t>
      </w:r>
      <w:r w:rsidR="008C3CB6" w:rsidRPr="008C78FC">
        <w:rPr>
          <w:szCs w:val="24"/>
          <w:lang w:val="hr-HR"/>
        </w:rPr>
        <w:t xml:space="preserve">canja, sklopivši </w:t>
      </w:r>
      <w:r w:rsidR="009D2CF4" w:rsidRPr="008C78FC">
        <w:rPr>
          <w:szCs w:val="24"/>
          <w:lang w:val="hr-HR"/>
        </w:rPr>
        <w:t xml:space="preserve">okvirni </w:t>
      </w:r>
      <w:r w:rsidR="008C3CB6" w:rsidRPr="008C78FC">
        <w:rPr>
          <w:szCs w:val="24"/>
          <w:lang w:val="hr-HR"/>
        </w:rPr>
        <w:t xml:space="preserve">ugovor s </w:t>
      </w:r>
      <w:proofErr w:type="spellStart"/>
      <w:r w:rsidR="008C3CB6" w:rsidRPr="008C78FC">
        <w:rPr>
          <w:szCs w:val="24"/>
          <w:lang w:val="hr-HR"/>
        </w:rPr>
        <w:t>GEMOZ</w:t>
      </w:r>
      <w:proofErr w:type="spellEnd"/>
      <w:r w:rsidR="00D2224D" w:rsidRPr="008C78FC">
        <w:rPr>
          <w:szCs w:val="24"/>
          <w:lang w:val="hr-HR"/>
        </w:rPr>
        <w:t xml:space="preserve"> </w:t>
      </w:r>
      <w:r w:rsidR="009D2CF4" w:rsidRPr="008C78FC">
        <w:rPr>
          <w:szCs w:val="24"/>
          <w:lang w:val="hr-HR"/>
        </w:rPr>
        <w:t xml:space="preserve">kojim se </w:t>
      </w:r>
      <w:proofErr w:type="spellStart"/>
      <w:r w:rsidR="008C3CB6" w:rsidRPr="008C78FC">
        <w:rPr>
          <w:szCs w:val="24"/>
          <w:lang w:val="hr-HR"/>
        </w:rPr>
        <w:t>osiguravateljske</w:t>
      </w:r>
      <w:proofErr w:type="spellEnd"/>
      <w:r w:rsidR="008C3CB6" w:rsidRPr="008C78FC">
        <w:rPr>
          <w:szCs w:val="24"/>
          <w:lang w:val="hr-HR"/>
        </w:rPr>
        <w:t xml:space="preserve"> kuće </w:t>
      </w:r>
      <w:r w:rsidRPr="008C78FC">
        <w:rPr>
          <w:szCs w:val="24"/>
          <w:lang w:val="hr-HR"/>
        </w:rPr>
        <w:t>su voljno potvrdile zabranjeni sporazum. Time je i vertikalni ugovor koji je sklopljen na temelju</w:t>
      </w:r>
      <w:r w:rsidR="001A1125">
        <w:rPr>
          <w:szCs w:val="24"/>
          <w:lang w:val="hr-HR"/>
        </w:rPr>
        <w:t xml:space="preserve"> </w:t>
      </w:r>
      <w:r w:rsidR="001706CB" w:rsidRPr="008C78FC">
        <w:rPr>
          <w:szCs w:val="24"/>
          <w:lang w:val="hr-HR"/>
        </w:rPr>
        <w:t>protu</w:t>
      </w:r>
      <w:r w:rsidR="001A1125">
        <w:rPr>
          <w:szCs w:val="24"/>
          <w:lang w:val="hr-HR"/>
        </w:rPr>
        <w:t>-</w:t>
      </w:r>
      <w:r w:rsidR="001706CB" w:rsidRPr="008C78FC">
        <w:rPr>
          <w:szCs w:val="24"/>
          <w:lang w:val="hr-HR"/>
        </w:rPr>
        <w:t>tržišnog horizontalnog odnosa i sam protivan</w:t>
      </w:r>
      <w:r w:rsidR="001A1125">
        <w:rPr>
          <w:szCs w:val="24"/>
          <w:lang w:val="hr-HR"/>
        </w:rPr>
        <w:t xml:space="preserve"> pravilima tržišnog natjecanja.</w:t>
      </w:r>
    </w:p>
    <w:p w:rsidR="001A1125" w:rsidRPr="001A1125" w:rsidRDefault="001A1125" w:rsidP="001A1125">
      <w:pPr>
        <w:spacing w:line="480" w:lineRule="auto"/>
        <w:ind w:firstLine="708"/>
        <w:rPr>
          <w:szCs w:val="24"/>
          <w:lang w:val="hr-HR"/>
        </w:rPr>
      </w:pPr>
      <w:r>
        <w:rPr>
          <w:szCs w:val="24"/>
          <w:lang w:val="hr-HR"/>
        </w:rPr>
        <w:t>Nejasno je iz presuda da je Sud stvorio dvije nove kategorija sporazuma koje spadaju u listu (</w:t>
      </w:r>
      <w:proofErr w:type="spellStart"/>
      <w:r>
        <w:rPr>
          <w:szCs w:val="24"/>
          <w:lang w:val="hr-HR"/>
        </w:rPr>
        <w:t>object</w:t>
      </w:r>
      <w:proofErr w:type="spellEnd"/>
      <w:r>
        <w:rPr>
          <w:szCs w:val="24"/>
          <w:lang w:val="hr-HR"/>
        </w:rPr>
        <w:t xml:space="preserve"> box) iz Poglavlja IV. Ukoliko je tako, to bi značilo da i za vrijedi i za buduće slučajeve. U tom smislu sporazumi koji nisu u skladu s propisima iz nekog drugog pravog područja (poput pravila o zaštiti </w:t>
      </w:r>
      <w:proofErr w:type="spellStart"/>
      <w:r>
        <w:rPr>
          <w:szCs w:val="24"/>
          <w:lang w:val="hr-HR"/>
        </w:rPr>
        <w:t>potrošaća</w:t>
      </w:r>
      <w:proofErr w:type="spellEnd"/>
      <w:r>
        <w:rPr>
          <w:szCs w:val="24"/>
          <w:lang w:val="hr-HR"/>
        </w:rPr>
        <w:t xml:space="preserve">), bi automatski bila protivna pravilima tržišnog natjecanja. Nadalje, svaki vertikalni sporazum koji je sklopljen na temelju </w:t>
      </w:r>
      <w:r w:rsidR="009E18C5">
        <w:rPr>
          <w:szCs w:val="24"/>
          <w:lang w:val="hr-HR"/>
        </w:rPr>
        <w:t xml:space="preserve">protu-tržišnog </w:t>
      </w:r>
      <w:r>
        <w:rPr>
          <w:szCs w:val="24"/>
          <w:lang w:val="hr-HR"/>
        </w:rPr>
        <w:t xml:space="preserve">horizontalnog </w:t>
      </w:r>
      <w:r w:rsidR="009E18C5">
        <w:rPr>
          <w:szCs w:val="24"/>
          <w:lang w:val="hr-HR"/>
        </w:rPr>
        <w:t>sporazuma</w:t>
      </w:r>
      <w:r>
        <w:rPr>
          <w:szCs w:val="24"/>
          <w:lang w:val="hr-HR"/>
        </w:rPr>
        <w:t xml:space="preserve"> i sam bio </w:t>
      </w:r>
      <w:proofErr w:type="spellStart"/>
      <w:r>
        <w:rPr>
          <w:szCs w:val="24"/>
          <w:lang w:val="hr-HR"/>
        </w:rPr>
        <w:t>ništetan</w:t>
      </w:r>
      <w:proofErr w:type="spellEnd"/>
      <w:r>
        <w:rPr>
          <w:szCs w:val="24"/>
          <w:lang w:val="hr-HR"/>
        </w:rPr>
        <w:t xml:space="preserve"> po pravilima tržišnog natjecanja. </w:t>
      </w:r>
    </w:p>
    <w:p w:rsidR="00EA1F05" w:rsidRPr="008C78FC" w:rsidRDefault="001A1125" w:rsidP="009C15A3">
      <w:pPr>
        <w:spacing w:line="480" w:lineRule="auto"/>
        <w:ind w:firstLine="708"/>
        <w:rPr>
          <w:szCs w:val="24"/>
          <w:lang w:val="hr-HR"/>
        </w:rPr>
      </w:pPr>
      <w:r>
        <w:rPr>
          <w:lang w:val="hr-HR"/>
        </w:rPr>
        <w:t xml:space="preserve">Treća varijanta je </w:t>
      </w:r>
      <w:r w:rsidR="009E18C5">
        <w:rPr>
          <w:lang w:val="hr-HR"/>
        </w:rPr>
        <w:t>najproblematičnija</w:t>
      </w:r>
      <w:r>
        <w:rPr>
          <w:lang w:val="hr-HR"/>
        </w:rPr>
        <w:t xml:space="preserve">. </w:t>
      </w:r>
      <w:r w:rsidR="00D93CBC" w:rsidRPr="008C78FC">
        <w:rPr>
          <w:lang w:val="hr-HR"/>
        </w:rPr>
        <w:t xml:space="preserve">Sud započinje analizu donekle konvencionalno, ponavljajući poznatu floskulu da se jedino </w:t>
      </w:r>
      <w:r w:rsidR="00D93CBC" w:rsidRPr="008C78FC">
        <w:rPr>
          <w:szCs w:val="24"/>
          <w:lang w:val="hr-HR"/>
        </w:rPr>
        <w:t>‘konkretnom i pojedinačnom analizom sadržaja i svrhe sporazuma u njegovom ekonomskom i pravnom kontekstu’</w:t>
      </w:r>
      <w:r w:rsidR="00EC1EF1" w:rsidRPr="008C78FC">
        <w:rPr>
          <w:rStyle w:val="Referencafusnote"/>
          <w:szCs w:val="24"/>
          <w:lang w:val="hr-HR"/>
        </w:rPr>
        <w:footnoteReference w:id="95"/>
      </w:r>
      <w:r w:rsidR="00D93CBC" w:rsidRPr="008C78FC">
        <w:rPr>
          <w:lang w:val="hr-HR"/>
        </w:rPr>
        <w:t xml:space="preserve"> može utvrditi da sporni sporazum ima za svoj cilj ograničenje tržišnog natjecanja.</w:t>
      </w:r>
      <w:r w:rsidR="009C15A3" w:rsidRPr="008C78FC">
        <w:rPr>
          <w:lang w:val="hr-HR"/>
        </w:rPr>
        <w:t xml:space="preserve"> Već u slijedećoj rečenici analiza se okreće u nejasnom smjeru</w:t>
      </w:r>
      <w:r w:rsidR="00D93CBC" w:rsidRPr="008C78FC">
        <w:rPr>
          <w:lang w:val="hr-HR"/>
        </w:rPr>
        <w:t xml:space="preserve">. Naime, </w:t>
      </w:r>
      <w:r w:rsidR="009C15A3" w:rsidRPr="008C78FC">
        <w:rPr>
          <w:lang w:val="hr-HR"/>
        </w:rPr>
        <w:t xml:space="preserve">oslanjajući se na svoju presudu u predmetu </w:t>
      </w:r>
      <w:r w:rsidR="009C15A3" w:rsidRPr="008C78FC">
        <w:rPr>
          <w:i/>
          <w:lang w:val="hr-HR"/>
        </w:rPr>
        <w:t>Expedia</w:t>
      </w:r>
      <w:r w:rsidR="007362CE" w:rsidRPr="008C78FC">
        <w:rPr>
          <w:rStyle w:val="Referencafusnote"/>
          <w:i/>
          <w:lang w:val="hr-HR"/>
        </w:rPr>
        <w:footnoteReference w:id="96"/>
      </w:r>
      <w:r w:rsidR="009C15A3" w:rsidRPr="008C78FC">
        <w:rPr>
          <w:i/>
          <w:lang w:val="hr-HR"/>
        </w:rPr>
        <w:t xml:space="preserve">, </w:t>
      </w:r>
      <w:r w:rsidR="00D93CBC" w:rsidRPr="008C78FC">
        <w:rPr>
          <w:lang w:val="hr-HR"/>
        </w:rPr>
        <w:t xml:space="preserve">Sud smatra </w:t>
      </w:r>
      <w:r w:rsidR="009C15A3" w:rsidRPr="008C78FC">
        <w:rPr>
          <w:lang w:val="hr-HR"/>
        </w:rPr>
        <w:t>‘</w:t>
      </w:r>
      <w:r w:rsidR="00D93CBC" w:rsidRPr="008C78FC">
        <w:rPr>
          <w:lang w:val="hr-HR"/>
        </w:rPr>
        <w:t>da k</w:t>
      </w:r>
      <w:r w:rsidR="00EA1F05" w:rsidRPr="008C78FC">
        <w:rPr>
          <w:lang w:val="hr-HR"/>
        </w:rPr>
        <w:t xml:space="preserve">ako bi se utvrdio taj </w:t>
      </w:r>
      <w:r w:rsidR="00D93CBC" w:rsidRPr="008C78FC">
        <w:rPr>
          <w:lang w:val="hr-HR"/>
        </w:rPr>
        <w:t>ekonomski i pravni kontekst</w:t>
      </w:r>
      <w:r w:rsidR="00EA1F05" w:rsidRPr="008C78FC">
        <w:rPr>
          <w:lang w:val="hr-HR"/>
        </w:rPr>
        <w:t xml:space="preserve">, primjereno je uzeti u obzir prirodu proizvoda i usluga, kao i stvarne uvjete </w:t>
      </w:r>
      <w:r w:rsidR="00D93CBC" w:rsidRPr="008C78FC">
        <w:rPr>
          <w:lang w:val="hr-HR"/>
        </w:rPr>
        <w:t xml:space="preserve">funkcioniranja i strukture mjerodavnog </w:t>
      </w:r>
      <w:r w:rsidR="00D93CBC" w:rsidRPr="008C78FC">
        <w:rPr>
          <w:lang w:val="hr-HR"/>
        </w:rPr>
        <w:lastRenderedPageBreak/>
        <w:t>tržišta</w:t>
      </w:r>
      <w:r w:rsidR="009C15A3" w:rsidRPr="008C78FC">
        <w:rPr>
          <w:lang w:val="hr-HR"/>
        </w:rPr>
        <w:t>’</w:t>
      </w:r>
      <w:r w:rsidR="00EC1EF1" w:rsidRPr="008C78FC">
        <w:rPr>
          <w:rStyle w:val="Referencafusnote"/>
          <w:lang w:val="hr-HR"/>
        </w:rPr>
        <w:footnoteReference w:id="97"/>
      </w:r>
      <w:r w:rsidR="00D93CBC" w:rsidRPr="008C78FC">
        <w:rPr>
          <w:lang w:val="hr-HR"/>
        </w:rPr>
        <w:t xml:space="preserve">. </w:t>
      </w:r>
      <w:r w:rsidR="00EC1EF1" w:rsidRPr="008C78FC">
        <w:rPr>
          <w:lang w:val="hr-HR"/>
        </w:rPr>
        <w:t>Već na prvi pogled, n</w:t>
      </w:r>
      <w:r w:rsidR="009C15A3" w:rsidRPr="008C78FC">
        <w:rPr>
          <w:lang w:val="hr-HR"/>
        </w:rPr>
        <w:t>aved</w:t>
      </w:r>
      <w:r w:rsidR="00EC1EF1" w:rsidRPr="008C78FC">
        <w:rPr>
          <w:lang w:val="hr-HR"/>
        </w:rPr>
        <w:t xml:space="preserve">eni parametri zvuče kao da pripadaju u analizi tržišnih učinaka sporazuma. </w:t>
      </w:r>
      <w:r w:rsidR="003B2B73" w:rsidRPr="008C78FC">
        <w:rPr>
          <w:lang w:val="hr-HR"/>
        </w:rPr>
        <w:t xml:space="preserve">Takav zaključak nije iznenađujući s obzirom da je citirani paragraf izvorno naveden presudi </w:t>
      </w:r>
      <w:proofErr w:type="spellStart"/>
      <w:r w:rsidR="003B2B73" w:rsidRPr="008C78FC">
        <w:rPr>
          <w:i/>
          <w:iCs/>
          <w:lang w:val="hr-HR"/>
        </w:rPr>
        <w:t>Asnef</w:t>
      </w:r>
      <w:proofErr w:type="spellEnd"/>
      <w:r w:rsidR="003B2B73" w:rsidRPr="008C78FC">
        <w:rPr>
          <w:i/>
          <w:iCs/>
          <w:lang w:val="hr-HR"/>
        </w:rPr>
        <w:t>-</w:t>
      </w:r>
      <w:proofErr w:type="spellStart"/>
      <w:r w:rsidR="003B2B73" w:rsidRPr="008C78FC">
        <w:rPr>
          <w:i/>
          <w:iCs/>
          <w:lang w:val="hr-HR"/>
        </w:rPr>
        <w:t>EquifaxandAdministracióndel</w:t>
      </w:r>
      <w:r w:rsidR="003B2B73" w:rsidRPr="008C78FC">
        <w:rPr>
          <w:iCs/>
          <w:lang w:val="hr-HR"/>
        </w:rPr>
        <w:t>Estado</w:t>
      </w:r>
      <w:proofErr w:type="spellEnd"/>
      <w:r w:rsidR="003B2B73" w:rsidRPr="008C78FC">
        <w:rPr>
          <w:rStyle w:val="Referencafusnote"/>
          <w:iCs/>
          <w:lang w:val="hr-HR"/>
        </w:rPr>
        <w:footnoteReference w:id="98"/>
      </w:r>
      <w:r w:rsidR="003B2B73" w:rsidRPr="008C78FC">
        <w:rPr>
          <w:iCs/>
          <w:lang w:val="hr-HR"/>
        </w:rPr>
        <w:t xml:space="preserve">. U tom predmetu Sud je istaknuo da kako bi su utvrdili učinci sporazuma u smislu članka 101(1) </w:t>
      </w:r>
      <w:proofErr w:type="spellStart"/>
      <w:r w:rsidR="003B2B73" w:rsidRPr="008C78FC">
        <w:rPr>
          <w:iCs/>
          <w:lang w:val="hr-HR"/>
        </w:rPr>
        <w:t>UFEU</w:t>
      </w:r>
      <w:proofErr w:type="spellEnd"/>
      <w:r w:rsidR="003B2B73" w:rsidRPr="008C78FC">
        <w:rPr>
          <w:iCs/>
          <w:lang w:val="hr-HR"/>
        </w:rPr>
        <w:t xml:space="preserve"> potrebno je uzeti u obzir navedeni parametri. </w:t>
      </w:r>
      <w:r w:rsidR="00D93CBC" w:rsidRPr="008C78FC">
        <w:rPr>
          <w:lang w:val="hr-HR"/>
        </w:rPr>
        <w:t xml:space="preserve">Podrobnijom analizom </w:t>
      </w:r>
      <w:r w:rsidR="009C15A3" w:rsidRPr="008C78FC">
        <w:rPr>
          <w:lang w:val="hr-HR"/>
        </w:rPr>
        <w:t>ne može se oteti dojmu da je Sud</w:t>
      </w:r>
      <w:r w:rsidR="00D93CBC" w:rsidRPr="008C78FC">
        <w:rPr>
          <w:lang w:val="hr-HR"/>
        </w:rPr>
        <w:t xml:space="preserve"> temeljio svoj zaključak na krivom tumačenju prethodne prakse. </w:t>
      </w:r>
      <w:r w:rsidR="009E18C5">
        <w:rPr>
          <w:lang w:val="hr-HR"/>
        </w:rPr>
        <w:t>Niti p</w:t>
      </w:r>
      <w:r w:rsidR="003B2B73" w:rsidRPr="008C78FC">
        <w:rPr>
          <w:lang w:val="hr-HR"/>
        </w:rPr>
        <w:t>resuda</w:t>
      </w:r>
      <w:r w:rsidR="00D93CBC" w:rsidRPr="008C78FC">
        <w:rPr>
          <w:lang w:val="hr-HR"/>
        </w:rPr>
        <w:t xml:space="preserve"> u predmetu </w:t>
      </w:r>
      <w:r w:rsidR="00D93CBC" w:rsidRPr="008C78FC">
        <w:rPr>
          <w:i/>
          <w:lang w:val="hr-HR"/>
        </w:rPr>
        <w:t>Expedia</w:t>
      </w:r>
      <w:r w:rsidR="00492558" w:rsidRPr="008C78FC">
        <w:rPr>
          <w:rStyle w:val="Referencafusnote"/>
          <w:i/>
          <w:lang w:val="hr-HR"/>
        </w:rPr>
        <w:footnoteReference w:id="99"/>
      </w:r>
      <w:r w:rsidR="00D93CBC" w:rsidRPr="008C78FC">
        <w:rPr>
          <w:lang w:val="hr-HR"/>
        </w:rPr>
        <w:t xml:space="preserve">ne govori o načinu utvrđivanja cilja </w:t>
      </w:r>
      <w:r w:rsidR="009C15A3" w:rsidRPr="008C78FC">
        <w:rPr>
          <w:lang w:val="hr-HR"/>
        </w:rPr>
        <w:t>potencijalno</w:t>
      </w:r>
      <w:r w:rsidR="009E18C5">
        <w:rPr>
          <w:lang w:val="hr-HR"/>
        </w:rPr>
        <w:t xml:space="preserve"> </w:t>
      </w:r>
      <w:r w:rsidR="009C15A3" w:rsidRPr="008C78FC">
        <w:rPr>
          <w:lang w:val="hr-HR"/>
        </w:rPr>
        <w:t>restriktivnog</w:t>
      </w:r>
      <w:r w:rsidR="00D93CBC" w:rsidRPr="008C78FC">
        <w:rPr>
          <w:lang w:val="hr-HR"/>
        </w:rPr>
        <w:t xml:space="preserve"> ugovora, već je središnje pitanje</w:t>
      </w:r>
      <w:r w:rsidR="009E18C5">
        <w:rPr>
          <w:lang w:val="hr-HR"/>
        </w:rPr>
        <w:t xml:space="preserve"> kada je ograničenje tržišnog natjecanja po cilju značajno u smislu članka 101 </w:t>
      </w:r>
      <w:proofErr w:type="spellStart"/>
      <w:r w:rsidR="009E18C5">
        <w:rPr>
          <w:lang w:val="hr-HR"/>
        </w:rPr>
        <w:t>UFEU</w:t>
      </w:r>
      <w:proofErr w:type="spellEnd"/>
      <w:r w:rsidR="009E18C5">
        <w:rPr>
          <w:lang w:val="hr-HR"/>
        </w:rPr>
        <w:t xml:space="preserve">. Sud je, </w:t>
      </w:r>
      <w:r w:rsidR="009C15A3" w:rsidRPr="008C78FC">
        <w:rPr>
          <w:lang w:val="hr-HR"/>
        </w:rPr>
        <w:t>zaključio da u slučaju da se radi o ograničenjima po cilju nije potrebno primijeniti kvantitativni kriterij, već da  takva ograničenja, po svojoj prirodi,</w:t>
      </w:r>
      <w:r w:rsidR="009E18C5">
        <w:rPr>
          <w:lang w:val="hr-HR"/>
        </w:rPr>
        <w:t xml:space="preserve"> </w:t>
      </w:r>
      <w:r w:rsidR="009C15A3" w:rsidRPr="008C78FC">
        <w:rPr>
          <w:lang w:val="hr-HR"/>
        </w:rPr>
        <w:t>značajno ograničavaju tržišno natjecanje. Dakle</w:t>
      </w:r>
      <w:r w:rsidR="00E614C2" w:rsidRPr="008C78FC">
        <w:rPr>
          <w:lang w:val="hr-HR"/>
        </w:rPr>
        <w:t>,</w:t>
      </w:r>
      <w:r w:rsidR="009C15A3" w:rsidRPr="008C78FC">
        <w:rPr>
          <w:lang w:val="hr-HR"/>
        </w:rPr>
        <w:t xml:space="preserve"> ukoliko povežemo zaključke Suda u presudi </w:t>
      </w:r>
      <w:r w:rsidR="009C15A3" w:rsidRPr="008C78FC">
        <w:rPr>
          <w:i/>
          <w:lang w:val="hr-HR"/>
        </w:rPr>
        <w:t xml:space="preserve">Allianz </w:t>
      </w:r>
      <w:proofErr w:type="spellStart"/>
      <w:r w:rsidR="009C15A3" w:rsidRPr="008C78FC">
        <w:rPr>
          <w:i/>
          <w:lang w:val="hr-HR"/>
        </w:rPr>
        <w:t>Hungaria</w:t>
      </w:r>
      <w:r w:rsidR="009C15A3" w:rsidRPr="008C78FC">
        <w:rPr>
          <w:lang w:val="hr-HR"/>
        </w:rPr>
        <w:t>i</w:t>
      </w:r>
      <w:proofErr w:type="spellEnd"/>
      <w:r w:rsidR="009C15A3" w:rsidRPr="008C78FC">
        <w:rPr>
          <w:lang w:val="hr-HR"/>
        </w:rPr>
        <w:t xml:space="preserve"> u</w:t>
      </w:r>
      <w:r w:rsidR="009E18C5">
        <w:rPr>
          <w:lang w:val="hr-HR"/>
        </w:rPr>
        <w:t xml:space="preserve"> </w:t>
      </w:r>
      <w:r w:rsidR="009C15A3" w:rsidRPr="008C78FC">
        <w:rPr>
          <w:lang w:val="hr-HR"/>
        </w:rPr>
        <w:t>presudi</w:t>
      </w:r>
      <w:r w:rsidR="009E18C5">
        <w:rPr>
          <w:lang w:val="hr-HR"/>
        </w:rPr>
        <w:t xml:space="preserve"> </w:t>
      </w:r>
      <w:r w:rsidR="009C15A3" w:rsidRPr="008C78FC">
        <w:rPr>
          <w:i/>
          <w:lang w:val="hr-HR"/>
        </w:rPr>
        <w:t>Expedia,</w:t>
      </w:r>
      <w:r w:rsidR="00B609E9" w:rsidRPr="008C78FC">
        <w:rPr>
          <w:rStyle w:val="Referencafusnote"/>
          <w:i/>
          <w:lang w:val="hr-HR"/>
        </w:rPr>
        <w:footnoteReference w:id="100"/>
      </w:r>
      <w:r w:rsidR="009C15A3" w:rsidRPr="008C78FC">
        <w:rPr>
          <w:lang w:val="hr-HR"/>
        </w:rPr>
        <w:t xml:space="preserve">dolazimo do doista čudne logičke konstrukcije. Naime, Sud temelji zaključak da </w:t>
      </w:r>
      <w:r w:rsidR="00E614C2" w:rsidRPr="008C78FC">
        <w:rPr>
          <w:lang w:val="hr-HR"/>
        </w:rPr>
        <w:t>utvrđenje protu</w:t>
      </w:r>
      <w:r w:rsidR="009E18C5">
        <w:rPr>
          <w:lang w:val="hr-HR"/>
        </w:rPr>
        <w:t>-</w:t>
      </w:r>
      <w:r w:rsidR="00E614C2" w:rsidRPr="008C78FC">
        <w:rPr>
          <w:lang w:val="hr-HR"/>
        </w:rPr>
        <w:t>tržišnog cilja sporazuma</w:t>
      </w:r>
      <w:r w:rsidR="009C15A3" w:rsidRPr="008C78FC">
        <w:rPr>
          <w:lang w:val="hr-HR"/>
        </w:rPr>
        <w:t xml:space="preserve"> ovisi o realni</w:t>
      </w:r>
      <w:r w:rsidR="00D221CD">
        <w:rPr>
          <w:lang w:val="hr-HR"/>
        </w:rPr>
        <w:t>m</w:t>
      </w:r>
      <w:r w:rsidR="009C15A3" w:rsidRPr="008C78FC">
        <w:rPr>
          <w:lang w:val="hr-HR"/>
        </w:rPr>
        <w:t xml:space="preserve"> uvjetima na tržištu i njegovoj strukturi, na činjenici da su sporazumi koji za svoj cilj imaju ograničenje t</w:t>
      </w:r>
      <w:r w:rsidR="00D221CD">
        <w:rPr>
          <w:lang w:val="hr-HR"/>
        </w:rPr>
        <w:t>ržišnog natjecanja zabranjeni</w:t>
      </w:r>
      <w:r w:rsidR="009C15A3" w:rsidRPr="008C78FC">
        <w:rPr>
          <w:lang w:val="hr-HR"/>
        </w:rPr>
        <w:t xml:space="preserve"> neovisno o strukturi tržišta.</w:t>
      </w:r>
    </w:p>
    <w:p w:rsidR="00121C50" w:rsidRPr="009E18C5" w:rsidRDefault="009E18C5" w:rsidP="009E18C5">
      <w:pPr>
        <w:pStyle w:val="Naslov2"/>
        <w:rPr>
          <w:rFonts w:ascii="Times New Roman" w:hAnsi="Times New Roman" w:cs="Times New Roman"/>
          <w:lang w:val="hr-HR"/>
        </w:rPr>
      </w:pPr>
      <w:r>
        <w:rPr>
          <w:rFonts w:ascii="Times New Roman" w:hAnsi="Times New Roman" w:cs="Times New Roman"/>
          <w:lang w:val="hr-HR"/>
        </w:rPr>
        <w:t>Komentar</w:t>
      </w:r>
    </w:p>
    <w:p w:rsidR="00477F5E" w:rsidRPr="008C78FC" w:rsidRDefault="00477F5E" w:rsidP="0081680C">
      <w:pPr>
        <w:spacing w:line="480" w:lineRule="auto"/>
        <w:ind w:firstLine="708"/>
        <w:rPr>
          <w:szCs w:val="24"/>
          <w:lang w:val="hr-HR"/>
        </w:rPr>
      </w:pPr>
      <w:r w:rsidRPr="008C78FC">
        <w:rPr>
          <w:szCs w:val="24"/>
          <w:lang w:val="hr-HR"/>
        </w:rPr>
        <w:t xml:space="preserve">Reakcije na presudu u predmetu </w:t>
      </w:r>
      <w:proofErr w:type="spellStart"/>
      <w:r w:rsidRPr="008C78FC">
        <w:rPr>
          <w:i/>
          <w:szCs w:val="24"/>
          <w:lang w:val="hr-HR"/>
        </w:rPr>
        <w:t>AlianzHungaria</w:t>
      </w:r>
      <w:r w:rsidRPr="008C78FC">
        <w:rPr>
          <w:szCs w:val="24"/>
          <w:lang w:val="hr-HR"/>
        </w:rPr>
        <w:t>se</w:t>
      </w:r>
      <w:proofErr w:type="spellEnd"/>
      <w:r w:rsidRPr="008C78FC">
        <w:rPr>
          <w:szCs w:val="24"/>
          <w:lang w:val="hr-HR"/>
        </w:rPr>
        <w:t xml:space="preserve"> mogu sažeti riječima: pazi što želiš, da ne to i dobio. Godinama je najčešća krit</w:t>
      </w:r>
      <w:r w:rsidR="006C0828" w:rsidRPr="008C78FC">
        <w:rPr>
          <w:szCs w:val="24"/>
          <w:lang w:val="hr-HR"/>
        </w:rPr>
        <w:t>ika upućena praksi</w:t>
      </w:r>
      <w:r w:rsidRPr="008C78FC">
        <w:rPr>
          <w:szCs w:val="24"/>
          <w:lang w:val="hr-HR"/>
        </w:rPr>
        <w:t xml:space="preserve"> suda bila da </w:t>
      </w:r>
      <w:r w:rsidR="006C0828" w:rsidRPr="008C78FC">
        <w:rPr>
          <w:szCs w:val="24"/>
          <w:lang w:val="hr-HR"/>
        </w:rPr>
        <w:t>se</w:t>
      </w:r>
      <w:r w:rsidR="00FE6E83" w:rsidRPr="008C78FC">
        <w:rPr>
          <w:szCs w:val="24"/>
          <w:lang w:val="hr-HR"/>
        </w:rPr>
        <w:t xml:space="preserve"> nedovoljno </w:t>
      </w:r>
      <w:r w:rsidRPr="008C78FC">
        <w:rPr>
          <w:szCs w:val="24"/>
          <w:lang w:val="hr-HR"/>
        </w:rPr>
        <w:t>uzimaju u obzir stvarni uvjeti na tržištu kada se utvrđuje ograničenje tržišnog natjecanja</w:t>
      </w:r>
      <w:r w:rsidR="0081680C" w:rsidRPr="008C78FC">
        <w:rPr>
          <w:szCs w:val="24"/>
          <w:lang w:val="hr-HR"/>
        </w:rPr>
        <w:t>.</w:t>
      </w:r>
      <w:r w:rsidRPr="008C78FC">
        <w:rPr>
          <w:szCs w:val="24"/>
          <w:lang w:val="hr-HR"/>
        </w:rPr>
        <w:t xml:space="preserve"> Mnogo toga se može zamjeriti rezoniranju suda u ovoj presudi, ali manjak tržišne </w:t>
      </w:r>
      <w:r w:rsidRPr="008C78FC">
        <w:rPr>
          <w:szCs w:val="24"/>
          <w:lang w:val="hr-HR"/>
        </w:rPr>
        <w:lastRenderedPageBreak/>
        <w:t xml:space="preserve">analize </w:t>
      </w:r>
      <w:r w:rsidR="0081680C" w:rsidRPr="008C78FC">
        <w:rPr>
          <w:szCs w:val="24"/>
          <w:lang w:val="hr-HR"/>
        </w:rPr>
        <w:t xml:space="preserve">zaista ne. </w:t>
      </w:r>
      <w:r w:rsidRPr="008C78FC">
        <w:rPr>
          <w:lang w:val="hr-HR"/>
        </w:rPr>
        <w:t>Sud je uspostavio altern</w:t>
      </w:r>
      <w:r w:rsidR="00391D9F" w:rsidRPr="008C78FC">
        <w:rPr>
          <w:lang w:val="hr-HR"/>
        </w:rPr>
        <w:t xml:space="preserve">ativnu metodu utvrđivanja cilja koja je sličnija </w:t>
      </w:r>
      <w:r w:rsidR="0081680C" w:rsidRPr="008C78FC">
        <w:rPr>
          <w:lang w:val="hr-HR"/>
        </w:rPr>
        <w:t>‘</w:t>
      </w:r>
      <w:proofErr w:type="spellStart"/>
      <w:r w:rsidR="00391D9F" w:rsidRPr="008C78FC">
        <w:rPr>
          <w:lang w:val="hr-HR"/>
        </w:rPr>
        <w:t>quick</w:t>
      </w:r>
      <w:proofErr w:type="spellEnd"/>
      <w:r w:rsidR="00391D9F" w:rsidRPr="008C78FC">
        <w:rPr>
          <w:lang w:val="hr-HR"/>
        </w:rPr>
        <w:t xml:space="preserve"> look</w:t>
      </w:r>
      <w:r w:rsidR="0081680C" w:rsidRPr="008C78FC">
        <w:rPr>
          <w:lang w:val="hr-HR"/>
        </w:rPr>
        <w:t>’</w:t>
      </w:r>
      <w:r w:rsidR="00391D9F" w:rsidRPr="008C78FC">
        <w:rPr>
          <w:lang w:val="hr-HR"/>
        </w:rPr>
        <w:t xml:space="preserve"> analizi iz američkog prava.</w:t>
      </w:r>
      <w:r w:rsidR="00D2224D" w:rsidRPr="008C78FC">
        <w:rPr>
          <w:lang w:val="hr-HR"/>
        </w:rPr>
        <w:t xml:space="preserve"> </w:t>
      </w:r>
      <w:r w:rsidR="00E2629F" w:rsidRPr="008C78FC">
        <w:rPr>
          <w:lang w:val="hr-HR"/>
        </w:rPr>
        <w:t>Pretpostavivši</w:t>
      </w:r>
      <w:r w:rsidR="00D2224D" w:rsidRPr="008C78FC">
        <w:rPr>
          <w:lang w:val="hr-HR"/>
        </w:rPr>
        <w:t xml:space="preserve"> </w:t>
      </w:r>
      <w:r w:rsidR="006C0828" w:rsidRPr="008C78FC">
        <w:rPr>
          <w:lang w:val="hr-HR"/>
        </w:rPr>
        <w:t>svojevrsni kontinuum</w:t>
      </w:r>
      <w:r w:rsidR="0081680C" w:rsidRPr="008C78FC">
        <w:rPr>
          <w:lang w:val="hr-HR"/>
        </w:rPr>
        <w:t>,</w:t>
      </w:r>
      <w:r w:rsidR="006C0828" w:rsidRPr="008C78FC">
        <w:rPr>
          <w:lang w:val="hr-HR"/>
        </w:rPr>
        <w:t xml:space="preserve"> kako ga </w:t>
      </w:r>
      <w:proofErr w:type="spellStart"/>
      <w:r w:rsidR="006C0828" w:rsidRPr="008C78FC">
        <w:rPr>
          <w:lang w:val="hr-HR"/>
        </w:rPr>
        <w:t>Andreagneli</w:t>
      </w:r>
      <w:proofErr w:type="spellEnd"/>
      <w:r w:rsidR="006C0828" w:rsidRPr="008C78FC">
        <w:rPr>
          <w:rStyle w:val="Referencafusnote"/>
          <w:lang w:val="hr-HR"/>
        </w:rPr>
        <w:footnoteReference w:id="101"/>
      </w:r>
      <w:r w:rsidR="006C0828" w:rsidRPr="008C78FC">
        <w:rPr>
          <w:lang w:val="hr-HR"/>
        </w:rPr>
        <w:t xml:space="preserve"> naziva</w:t>
      </w:r>
      <w:r w:rsidR="0081680C" w:rsidRPr="008C78FC">
        <w:rPr>
          <w:lang w:val="hr-HR"/>
        </w:rPr>
        <w:t>,</w:t>
      </w:r>
      <w:r w:rsidR="006C0828" w:rsidRPr="008C78FC">
        <w:rPr>
          <w:lang w:val="hr-HR"/>
        </w:rPr>
        <w:t xml:space="preserve"> između formalnog pristupa </w:t>
      </w:r>
      <w:r w:rsidR="0081680C" w:rsidRPr="008C78FC">
        <w:rPr>
          <w:lang w:val="hr-HR"/>
        </w:rPr>
        <w:t xml:space="preserve">analize sadržaja sporazuma </w:t>
      </w:r>
      <w:r w:rsidR="006C0828" w:rsidRPr="008C78FC">
        <w:rPr>
          <w:lang w:val="hr-HR"/>
        </w:rPr>
        <w:t xml:space="preserve">i pune analize </w:t>
      </w:r>
      <w:r w:rsidR="0081680C" w:rsidRPr="008C78FC">
        <w:rPr>
          <w:lang w:val="hr-HR"/>
        </w:rPr>
        <w:t>učinaka. Novi pristup nužno izaziva niz posljedica, nekih pozitivnih ali i negativnih.</w:t>
      </w:r>
    </w:p>
    <w:p w:rsidR="00391D9F" w:rsidRPr="008C78FC" w:rsidRDefault="009E18C5" w:rsidP="0081680C">
      <w:pPr>
        <w:pStyle w:val="Default"/>
        <w:spacing w:line="480" w:lineRule="auto"/>
        <w:ind w:firstLine="708"/>
        <w:jc w:val="both"/>
        <w:rPr>
          <w:rFonts w:ascii="Times New Roman" w:hAnsi="Times New Roman" w:cs="Times New Roman"/>
        </w:rPr>
      </w:pPr>
      <w:r>
        <w:rPr>
          <w:rFonts w:ascii="Times New Roman" w:hAnsi="Times New Roman" w:cs="Times New Roman"/>
        </w:rPr>
        <w:t>U</w:t>
      </w:r>
      <w:r w:rsidR="006C0828" w:rsidRPr="008C78FC">
        <w:rPr>
          <w:rFonts w:ascii="Times New Roman" w:hAnsi="Times New Roman" w:cs="Times New Roman"/>
        </w:rPr>
        <w:t>vođenje alternativne metode za utvrđivanje ograničenja tržišnog natjecanja može biti od velike važnosti za daljnji razvoj europskog prava. Iako</w:t>
      </w:r>
      <w:r w:rsidR="00391D9F" w:rsidRPr="008C78FC">
        <w:rPr>
          <w:rFonts w:ascii="Times New Roman" w:hAnsi="Times New Roman" w:cs="Times New Roman"/>
        </w:rPr>
        <w:t xml:space="preserve"> se to nužno ne bi moglo i</w:t>
      </w:r>
      <w:r w:rsidR="004C0965" w:rsidRPr="008C78FC">
        <w:rPr>
          <w:rFonts w:ascii="Times New Roman" w:hAnsi="Times New Roman" w:cs="Times New Roman"/>
        </w:rPr>
        <w:t>š</w:t>
      </w:r>
      <w:r w:rsidR="00391D9F" w:rsidRPr="008C78FC">
        <w:rPr>
          <w:rFonts w:ascii="Times New Roman" w:hAnsi="Times New Roman" w:cs="Times New Roman"/>
        </w:rPr>
        <w:t>či</w:t>
      </w:r>
      <w:r w:rsidR="006C0828" w:rsidRPr="008C78FC">
        <w:rPr>
          <w:rFonts w:ascii="Times New Roman" w:hAnsi="Times New Roman" w:cs="Times New Roman"/>
        </w:rPr>
        <w:t>tati iz nekih Komisijinih Smjernica,</w:t>
      </w:r>
      <w:r w:rsidR="00391D9F" w:rsidRPr="008C78FC">
        <w:rPr>
          <w:rFonts w:ascii="Times New Roman" w:hAnsi="Times New Roman" w:cs="Times New Roman"/>
        </w:rPr>
        <w:t xml:space="preserve"> proizlazi da je slučaju kada treba donijeti odluku o tome da li je neki nova vrsta sporazuma ograničavajuća po svom cilju ili ne</w:t>
      </w:r>
      <w:r w:rsidR="006C0828" w:rsidRPr="008C78FC">
        <w:rPr>
          <w:rFonts w:ascii="Times New Roman" w:hAnsi="Times New Roman" w:cs="Times New Roman"/>
        </w:rPr>
        <w:t>, Komisija je</w:t>
      </w:r>
      <w:r w:rsidR="00391D9F" w:rsidRPr="008C78FC">
        <w:rPr>
          <w:rFonts w:ascii="Times New Roman" w:hAnsi="Times New Roman" w:cs="Times New Roman"/>
        </w:rPr>
        <w:t xml:space="preserve"> otvoren</w:t>
      </w:r>
      <w:r w:rsidR="006C0828" w:rsidRPr="008C78FC">
        <w:rPr>
          <w:rFonts w:ascii="Times New Roman" w:hAnsi="Times New Roman" w:cs="Times New Roman"/>
        </w:rPr>
        <w:t>a</w:t>
      </w:r>
      <w:r w:rsidR="00391D9F" w:rsidRPr="008C78FC">
        <w:rPr>
          <w:rFonts w:ascii="Times New Roman" w:hAnsi="Times New Roman" w:cs="Times New Roman"/>
        </w:rPr>
        <w:t xml:space="preserve"> za nešto precizniju analizu od puke forme. Uz</w:t>
      </w:r>
      <w:r w:rsidR="006C0828" w:rsidRPr="008C78FC">
        <w:rPr>
          <w:rFonts w:ascii="Times New Roman" w:hAnsi="Times New Roman" w:cs="Times New Roman"/>
        </w:rPr>
        <w:t xml:space="preserve">mimo za primjer nedavne predmet </w:t>
      </w:r>
      <w:proofErr w:type="spellStart"/>
      <w:r w:rsidR="006C0828" w:rsidRPr="008C78FC">
        <w:rPr>
          <w:rFonts w:ascii="Times New Roman" w:hAnsi="Times New Roman" w:cs="Times New Roman"/>
          <w:i/>
        </w:rPr>
        <w:t>Lundbeck</w:t>
      </w:r>
      <w:proofErr w:type="spellEnd"/>
      <w:r w:rsidR="006C0828" w:rsidRPr="008C78FC">
        <w:rPr>
          <w:rStyle w:val="Referencafusnote"/>
          <w:rFonts w:ascii="Times New Roman" w:hAnsi="Times New Roman" w:cs="Times New Roman"/>
          <w:i/>
        </w:rPr>
        <w:footnoteReference w:id="102"/>
      </w:r>
      <w:r w:rsidR="00391D9F" w:rsidRPr="008C78FC">
        <w:rPr>
          <w:rFonts w:ascii="Times New Roman" w:hAnsi="Times New Roman" w:cs="Times New Roman"/>
        </w:rPr>
        <w:t xml:space="preserve"> koji se tiči nagodbi u patentnim sporovima. Naime,</w:t>
      </w:r>
      <w:r w:rsidR="006C0828" w:rsidRPr="008C78FC">
        <w:rPr>
          <w:rFonts w:ascii="Times New Roman" w:hAnsi="Times New Roman" w:cs="Times New Roman"/>
        </w:rPr>
        <w:t xml:space="preserve"> velike farma</w:t>
      </w:r>
      <w:r w:rsidR="00D2224D" w:rsidRPr="008C78FC">
        <w:rPr>
          <w:rFonts w:ascii="Times New Roman" w:hAnsi="Times New Roman" w:cs="Times New Roman"/>
        </w:rPr>
        <w:t>c</w:t>
      </w:r>
      <w:r w:rsidR="006C0828" w:rsidRPr="008C78FC">
        <w:rPr>
          <w:rFonts w:ascii="Times New Roman" w:hAnsi="Times New Roman" w:cs="Times New Roman"/>
        </w:rPr>
        <w:t xml:space="preserve">eutske kompanije </w:t>
      </w:r>
      <w:r w:rsidR="00391D9F" w:rsidRPr="008C78FC">
        <w:rPr>
          <w:rFonts w:ascii="Times New Roman" w:hAnsi="Times New Roman" w:cs="Times New Roman"/>
        </w:rPr>
        <w:t xml:space="preserve"> su sa proizvođačima generičkih lijekova sklapale nagodbe kojim bi se oni obvezli da neću osporavati trenutno važeće patente i ulaziti na tržište sa svojim generičkim proizvodima, a za uzvrat su im nositelji patenta platili značajne naknade</w:t>
      </w:r>
      <w:r w:rsidR="004C0965" w:rsidRPr="008C78FC">
        <w:rPr>
          <w:rFonts w:ascii="Times New Roman" w:hAnsi="Times New Roman" w:cs="Times New Roman"/>
        </w:rPr>
        <w:t>. Iako je Komisija smatrala da se radi o ograničenju po cilju, uzela je u obzir i stvarne učinke na tržištu lijekova u Velikoj Britanije zaključivši da je zbog povlačenja generičkih kompanija došlo do povišena cijena lijekova.</w:t>
      </w:r>
      <w:r w:rsidR="004C0965" w:rsidRPr="008C78FC">
        <w:rPr>
          <w:rStyle w:val="Referencafusnote"/>
          <w:rFonts w:ascii="Times New Roman" w:hAnsi="Times New Roman" w:cs="Times New Roman"/>
        </w:rPr>
        <w:footnoteReference w:id="103"/>
      </w:r>
      <w:r w:rsidR="0081680C" w:rsidRPr="008C78FC">
        <w:rPr>
          <w:rFonts w:ascii="Times New Roman" w:hAnsi="Times New Roman" w:cs="Times New Roman"/>
        </w:rPr>
        <w:t xml:space="preserve"> Ne možemo se oteti dojmu da upravo provjera stvarnih učinaka na tržištu na neki način legitimira zaključak da se radi o ograničenju tržišnog natjecanja.</w:t>
      </w:r>
    </w:p>
    <w:p w:rsidR="00F54D7A" w:rsidRPr="00BC5AC5" w:rsidRDefault="00F54D7A" w:rsidP="00F54D7A">
      <w:pPr>
        <w:pStyle w:val="Naslov1"/>
        <w:spacing w:line="480" w:lineRule="auto"/>
        <w:rPr>
          <w:rFonts w:ascii="Times New Roman" w:hAnsi="Times New Roman" w:cs="Times New Roman"/>
          <w:lang w:val="hr-HR"/>
        </w:rPr>
      </w:pPr>
      <w:bookmarkStart w:id="16" w:name="_Toc381547541"/>
      <w:r w:rsidRPr="00BC5AC5">
        <w:rPr>
          <w:rFonts w:ascii="Times New Roman" w:hAnsi="Times New Roman" w:cs="Times New Roman"/>
          <w:lang w:val="hr-HR"/>
        </w:rPr>
        <w:lastRenderedPageBreak/>
        <w:t>Dihotomija cilj/učinak – samo akademsko pitanje?</w:t>
      </w:r>
      <w:bookmarkEnd w:id="16"/>
    </w:p>
    <w:p w:rsidR="00F54D7A" w:rsidRPr="00BC5AC5" w:rsidRDefault="00F54D7A" w:rsidP="00F54D7A">
      <w:pPr>
        <w:spacing w:line="480" w:lineRule="auto"/>
        <w:ind w:firstLine="708"/>
        <w:rPr>
          <w:lang w:val="hr-HR"/>
        </w:rPr>
      </w:pPr>
      <w:r w:rsidRPr="00BC5AC5">
        <w:rPr>
          <w:lang w:val="hr-HR"/>
        </w:rPr>
        <w:t xml:space="preserve">Ovaj rad se temelji na tezi da je nužno jasno definirati dosege i način primjene kategorije “ograničenja po cilju”, ponajprije u odnosu na alternativnu metodu “ograničenje prema učinku” te pravilo izuzetka iz članka 101(3) </w:t>
      </w:r>
      <w:proofErr w:type="spellStart"/>
      <w:r w:rsidRPr="00BC5AC5">
        <w:rPr>
          <w:lang w:val="hr-HR"/>
        </w:rPr>
        <w:t>UFEU</w:t>
      </w:r>
      <w:proofErr w:type="spellEnd"/>
      <w:r w:rsidRPr="00BC5AC5">
        <w:rPr>
          <w:lang w:val="hr-HR"/>
        </w:rPr>
        <w:t>. Možda se doima neobično da se tek na kraju rada opravdava svrsishodnost polazne teze, ali smatram da bilo nužno ponajprije definirati temeljne pojmove i aktualnu problematiku u sudskoj praski.</w:t>
      </w:r>
    </w:p>
    <w:p w:rsidR="00F54D7A" w:rsidRPr="00BC5AC5" w:rsidRDefault="00F54D7A" w:rsidP="00F54D7A">
      <w:pPr>
        <w:spacing w:line="480" w:lineRule="auto"/>
        <w:ind w:firstLine="708"/>
        <w:rPr>
          <w:lang w:val="hr-HR"/>
        </w:rPr>
      </w:pPr>
      <w:r w:rsidRPr="00BC5AC5">
        <w:rPr>
          <w:lang w:val="hr-HR"/>
        </w:rPr>
        <w:t xml:space="preserve">Svrsishodnost debate o značenju kategorije “ograničenje po cilju” doveo je u pitanje profesor Richard </w:t>
      </w:r>
      <w:proofErr w:type="spellStart"/>
      <w:r w:rsidRPr="00BC5AC5">
        <w:rPr>
          <w:lang w:val="hr-HR"/>
        </w:rPr>
        <w:t>Whish</w:t>
      </w:r>
      <w:proofErr w:type="spellEnd"/>
      <w:r w:rsidRPr="00BC5AC5">
        <w:rPr>
          <w:lang w:val="hr-HR"/>
        </w:rPr>
        <w:t xml:space="preserve">. On, naime, smatra da je problem posljedica toga što dio komentatora i praktičara krivo pretpostavlja da su ograničenja po cilju ekvivalenta </w:t>
      </w:r>
      <w:proofErr w:type="spellStart"/>
      <w:r w:rsidRPr="00BC5AC5">
        <w:rPr>
          <w:i/>
          <w:lang w:val="hr-HR"/>
        </w:rPr>
        <w:t>per</w:t>
      </w:r>
      <w:proofErr w:type="spellEnd"/>
      <w:r w:rsidRPr="00BC5AC5">
        <w:rPr>
          <w:i/>
          <w:lang w:val="hr-HR"/>
        </w:rPr>
        <w:t xml:space="preserve"> se zabrani </w:t>
      </w:r>
      <w:r w:rsidRPr="00BC5AC5">
        <w:rPr>
          <w:lang w:val="hr-HR"/>
        </w:rPr>
        <w:t xml:space="preserve">iz američkog prava tržišnog natjecanja. Drugim riječima, neutemeljeno se pretpostavlja da ograničenja po cilju se ne mogu opravdati prema članku 101(3) </w:t>
      </w:r>
      <w:proofErr w:type="spellStart"/>
      <w:r w:rsidRPr="00BC5AC5">
        <w:rPr>
          <w:lang w:val="hr-HR"/>
        </w:rPr>
        <w:t>UFEU</w:t>
      </w:r>
      <w:proofErr w:type="spellEnd"/>
      <w:r w:rsidRPr="00BC5AC5">
        <w:rPr>
          <w:lang w:val="hr-HR"/>
        </w:rPr>
        <w:t xml:space="preserve">. </w:t>
      </w:r>
      <w:proofErr w:type="spellStart"/>
      <w:r w:rsidRPr="00BC5AC5">
        <w:rPr>
          <w:lang w:val="hr-HR"/>
        </w:rPr>
        <w:t>Wish</w:t>
      </w:r>
      <w:proofErr w:type="spellEnd"/>
      <w:r w:rsidRPr="00BC5AC5">
        <w:rPr>
          <w:lang w:val="hr-HR"/>
        </w:rPr>
        <w:t xml:space="preserve"> polazi od pretpostavke da dio nedosljednosti presuda sudova Unije se treba razumjeti i u kontekstu proceduralnih ograničenja u primjeni članka 101. </w:t>
      </w:r>
      <w:proofErr w:type="spellStart"/>
      <w:r w:rsidRPr="00BC5AC5">
        <w:rPr>
          <w:lang w:val="hr-HR"/>
        </w:rPr>
        <w:t>UFEU</w:t>
      </w:r>
      <w:proofErr w:type="spellEnd"/>
      <w:r w:rsidRPr="00BC5AC5">
        <w:rPr>
          <w:rStyle w:val="Referencafusnote"/>
          <w:lang w:val="hr-HR"/>
        </w:rPr>
        <w:footnoteReference w:id="104"/>
      </w:r>
      <w:r w:rsidRPr="00BC5AC5">
        <w:rPr>
          <w:lang w:val="hr-HR"/>
        </w:rPr>
        <w:t xml:space="preserve">. Prije 1. Svibnja 2004. godine samo je Komisija imala ovlast primjenjivati članak 101(3) </w:t>
      </w:r>
      <w:proofErr w:type="spellStart"/>
      <w:r w:rsidRPr="00BC5AC5">
        <w:rPr>
          <w:lang w:val="hr-HR"/>
        </w:rPr>
        <w:t>UFEU</w:t>
      </w:r>
      <w:proofErr w:type="spellEnd"/>
      <w:r w:rsidRPr="00BC5AC5">
        <w:rPr>
          <w:lang w:val="hr-HR"/>
        </w:rPr>
        <w:t xml:space="preserve">. Ukoliko sporazumi ne bi bili </w:t>
      </w:r>
      <w:proofErr w:type="spellStart"/>
      <w:r w:rsidRPr="00BC5AC5">
        <w:rPr>
          <w:lang w:val="hr-HR"/>
        </w:rPr>
        <w:t>notificirani</w:t>
      </w:r>
      <w:proofErr w:type="spellEnd"/>
      <w:r w:rsidRPr="00BC5AC5">
        <w:rPr>
          <w:lang w:val="hr-HR"/>
        </w:rPr>
        <w:t xml:space="preserve"> Komisiji, stranke se nisu mogle pozivati na pozitivne učinke sporazuma na tržišno natjecanje i efikasnu proizvodnju. Za sporazume koji su smještani u kategoriju ograničenja po cilju posljedice su bile osobito teške ukoliko uzmemo u obzir da je analiza protu-tržišnog cilja relativno apstraktna. Iz tog razloga u određenim ranijim presudama se u analizu cilja donekle unosi i kontekstualna analiza karakteristična za ograničenja po učinku, te uzimaju u obzir argumenti o posvećenju efikasnosti koji po svoj prilici pripadaju u okvire </w:t>
      </w:r>
      <w:r w:rsidRPr="00BC5AC5">
        <w:rPr>
          <w:lang w:val="hr-HR"/>
        </w:rPr>
        <w:lastRenderedPageBreak/>
        <w:t xml:space="preserve">analize iz  stavka 3.  Ukoliko prihvatimo stajalište profesora </w:t>
      </w:r>
      <w:proofErr w:type="spellStart"/>
      <w:r w:rsidRPr="00BC5AC5">
        <w:rPr>
          <w:lang w:val="hr-HR"/>
        </w:rPr>
        <w:t>Wisha</w:t>
      </w:r>
      <w:proofErr w:type="spellEnd"/>
      <w:r w:rsidRPr="00BC5AC5">
        <w:rPr>
          <w:lang w:val="hr-HR"/>
        </w:rPr>
        <w:t xml:space="preserve">, modernizacijom procedure i ukidanjem notifikacije, debata oko dihotomije cilj-učinak je postala suvišna. </w:t>
      </w:r>
    </w:p>
    <w:p w:rsidR="00F54D7A" w:rsidRPr="00BC5AC5" w:rsidRDefault="00F54D7A" w:rsidP="009E18C5">
      <w:pPr>
        <w:spacing w:line="480" w:lineRule="auto"/>
        <w:ind w:firstLine="708"/>
        <w:rPr>
          <w:lang w:val="hr-HR"/>
        </w:rPr>
      </w:pPr>
      <w:r w:rsidRPr="00BC5AC5">
        <w:rPr>
          <w:lang w:val="hr-HR"/>
        </w:rPr>
        <w:t>Stajališta smo da je modernizacija, u načelu, pridonijela lakšoj primjeni pravila ali ne samo da nije razriješila sva pitanje v</w:t>
      </w:r>
      <w:r w:rsidR="009E18C5">
        <w:rPr>
          <w:lang w:val="hr-HR"/>
        </w:rPr>
        <w:t>eć su se otvorila nova pitanja.</w:t>
      </w:r>
    </w:p>
    <w:p w:rsidR="00F54D7A" w:rsidRPr="00BC5AC5" w:rsidRDefault="00F54D7A" w:rsidP="00F54D7A">
      <w:pPr>
        <w:spacing w:line="480" w:lineRule="auto"/>
        <w:ind w:firstLine="708"/>
        <w:rPr>
          <w:lang w:val="hr-HR"/>
        </w:rPr>
      </w:pPr>
      <w:r w:rsidRPr="00BC5AC5">
        <w:rPr>
          <w:lang w:val="hr-HR"/>
        </w:rPr>
        <w:t xml:space="preserve">Dok se s jedne stranke briše oštra crta između ograničenja po cilju i po učinku, u drugim aspektima se ponovno postavlja. </w:t>
      </w:r>
    </w:p>
    <w:p w:rsidR="00F54D7A" w:rsidRPr="00BC5AC5" w:rsidRDefault="00F54D7A" w:rsidP="00F54D7A">
      <w:pPr>
        <w:spacing w:line="480" w:lineRule="auto"/>
        <w:ind w:firstLine="708"/>
        <w:rPr>
          <w:sz w:val="23"/>
          <w:szCs w:val="23"/>
          <w:lang w:val="hr-HR"/>
        </w:rPr>
      </w:pPr>
      <w:r w:rsidRPr="00BC5AC5">
        <w:rPr>
          <w:lang w:val="hr-HR"/>
        </w:rPr>
        <w:t xml:space="preserve"> Naime, kako što je rečeno u uvodnom dijelu, ograničenje tržišnog natjecanja ne smije biti neznačajno da bi bilo zabranjeno. Vodeći se objašnjenjima Suda u predmetu </w:t>
      </w:r>
      <w:proofErr w:type="spellStart"/>
      <w:r w:rsidRPr="00BC5AC5">
        <w:rPr>
          <w:i/>
          <w:lang w:val="hr-HR"/>
        </w:rPr>
        <w:t>Volk</w:t>
      </w:r>
      <w:proofErr w:type="spellEnd"/>
      <w:r w:rsidRPr="00BC5AC5">
        <w:rPr>
          <w:lang w:val="hr-HR"/>
        </w:rPr>
        <w:t xml:space="preserve">, Komisija je donijela De </w:t>
      </w:r>
      <w:proofErr w:type="spellStart"/>
      <w:r w:rsidRPr="00BC5AC5">
        <w:rPr>
          <w:lang w:val="hr-HR"/>
        </w:rPr>
        <w:t>Minimis</w:t>
      </w:r>
      <w:proofErr w:type="spellEnd"/>
      <w:r w:rsidRPr="00BC5AC5">
        <w:rPr>
          <w:lang w:val="hr-HR"/>
        </w:rPr>
        <w:t xml:space="preserve"> Obavijest</w:t>
      </w:r>
      <w:r w:rsidRPr="00BC5AC5">
        <w:rPr>
          <w:rStyle w:val="Referencafusnote"/>
          <w:rFonts w:eastAsiaTheme="majorEastAsia"/>
        </w:rPr>
        <w:footnoteReference w:id="105"/>
      </w:r>
      <w:r w:rsidRPr="00BC5AC5">
        <w:rPr>
          <w:lang w:val="hr-HR"/>
        </w:rPr>
        <w:t xml:space="preserve"> u kojoj “kvantitativno, primjenom pragova tržišnog udjela, određuje što se ne smatra značajnim ograničavanjem tržišnog natjecanja sukladno članku 101. </w:t>
      </w:r>
      <w:proofErr w:type="spellStart"/>
      <w:r w:rsidRPr="00BC5AC5">
        <w:rPr>
          <w:lang w:val="hr-HR"/>
        </w:rPr>
        <w:t>UFEU</w:t>
      </w:r>
      <w:proofErr w:type="spellEnd"/>
      <w:r w:rsidRPr="00BC5AC5">
        <w:rPr>
          <w:lang w:val="hr-HR"/>
        </w:rPr>
        <w:t xml:space="preserve">,” U </w:t>
      </w:r>
      <w:r w:rsidRPr="00BC5AC5">
        <w:rPr>
          <w:sz w:val="23"/>
          <w:szCs w:val="23"/>
          <w:lang w:val="hr-HR"/>
        </w:rPr>
        <w:t xml:space="preserve">slučajevima na koje se odnosi ova Obavijest, Komisija neće pokrenuti postupak bilo na temelju zahtjeva stranke, bilo po službenoj dužnosti. No, nakon presude u Expedia gdje je sud zaključio da su ograničenja po cilju inherentno značajno ograničenje tržišnog natjecanja, Komisija je odlučila </w:t>
      </w:r>
      <w:proofErr w:type="spellStart"/>
      <w:r w:rsidRPr="00BC5AC5">
        <w:rPr>
          <w:sz w:val="23"/>
          <w:szCs w:val="23"/>
          <w:lang w:val="hr-HR"/>
        </w:rPr>
        <w:t>izmjeniti</w:t>
      </w:r>
      <w:proofErr w:type="spellEnd"/>
      <w:r w:rsidRPr="00BC5AC5">
        <w:rPr>
          <w:sz w:val="23"/>
          <w:szCs w:val="23"/>
          <w:lang w:val="hr-HR"/>
        </w:rPr>
        <w:t xml:space="preserve"> svoje smjernice i izuzeti sva ograničenja po cilju iz njene zaštite. U praksi će za mala i srednja poduzeća biti od presudne važnosti da li je njihov sporazum ograničenje po cilju ili pak po učinku.</w:t>
      </w:r>
    </w:p>
    <w:p w:rsidR="00F54D7A" w:rsidRPr="009E18C5" w:rsidRDefault="00F54D7A" w:rsidP="009E18C5">
      <w:pPr>
        <w:spacing w:line="480" w:lineRule="auto"/>
        <w:ind w:firstLine="708"/>
        <w:rPr>
          <w:sz w:val="23"/>
          <w:szCs w:val="23"/>
          <w:lang w:val="hr-HR"/>
        </w:rPr>
      </w:pPr>
      <w:r w:rsidRPr="00BC5AC5">
        <w:rPr>
          <w:sz w:val="23"/>
          <w:szCs w:val="23"/>
          <w:lang w:val="hr-HR"/>
        </w:rPr>
        <w:t xml:space="preserve">Razlika između cilja i učinka je u načinu na koji se utvrđuje postojanje ograničenja tržišnog natjecanja. Činjenica da su u predmetima s ograničenjem po cilju ne treba utvrđivati stvarni uvjeti na tržištu može biti od </w:t>
      </w:r>
      <w:proofErr w:type="spellStart"/>
      <w:r w:rsidRPr="00BC5AC5">
        <w:rPr>
          <w:sz w:val="23"/>
          <w:szCs w:val="23"/>
          <w:lang w:val="hr-HR"/>
        </w:rPr>
        <w:t>presdune</w:t>
      </w:r>
      <w:proofErr w:type="spellEnd"/>
      <w:r w:rsidRPr="00BC5AC5">
        <w:rPr>
          <w:sz w:val="23"/>
          <w:szCs w:val="23"/>
          <w:lang w:val="hr-HR"/>
        </w:rPr>
        <w:t xml:space="preserve"> važnosti. Uz već spomenute </w:t>
      </w:r>
      <w:proofErr w:type="spellStart"/>
      <w:r w:rsidRPr="00BC5AC5">
        <w:rPr>
          <w:sz w:val="23"/>
          <w:szCs w:val="23"/>
          <w:lang w:val="hr-HR"/>
        </w:rPr>
        <w:t>trškove</w:t>
      </w:r>
      <w:proofErr w:type="spellEnd"/>
      <w:r w:rsidRPr="00BC5AC5">
        <w:rPr>
          <w:sz w:val="23"/>
          <w:szCs w:val="23"/>
          <w:lang w:val="hr-HR"/>
        </w:rPr>
        <w:t xml:space="preserve"> i složenost utvrđivanja </w:t>
      </w:r>
      <w:proofErr w:type="spellStart"/>
      <w:r w:rsidRPr="00BC5AC5">
        <w:rPr>
          <w:sz w:val="23"/>
          <w:szCs w:val="23"/>
          <w:lang w:val="hr-HR"/>
        </w:rPr>
        <w:t>svartnih</w:t>
      </w:r>
      <w:proofErr w:type="spellEnd"/>
      <w:r w:rsidRPr="00BC5AC5">
        <w:rPr>
          <w:sz w:val="23"/>
          <w:szCs w:val="23"/>
          <w:lang w:val="hr-HR"/>
        </w:rPr>
        <w:t xml:space="preserve"> uvjeta na mjerodavnom tržištu, nužno je istaknuti i vrlo praktičnu </w:t>
      </w:r>
      <w:proofErr w:type="spellStart"/>
      <w:r w:rsidRPr="00BC5AC5">
        <w:rPr>
          <w:sz w:val="23"/>
          <w:szCs w:val="23"/>
          <w:lang w:val="hr-HR"/>
        </w:rPr>
        <w:t>poslijedicu</w:t>
      </w:r>
      <w:proofErr w:type="spellEnd"/>
      <w:r w:rsidRPr="00BC5AC5">
        <w:rPr>
          <w:sz w:val="23"/>
          <w:szCs w:val="23"/>
          <w:lang w:val="hr-HR"/>
        </w:rPr>
        <w:t xml:space="preserve"> da </w:t>
      </w:r>
      <w:proofErr w:type="spellStart"/>
      <w:r w:rsidRPr="00BC5AC5">
        <w:rPr>
          <w:sz w:val="23"/>
          <w:szCs w:val="23"/>
          <w:lang w:val="hr-HR"/>
        </w:rPr>
        <w:t>odeđeni</w:t>
      </w:r>
      <w:proofErr w:type="spellEnd"/>
      <w:r w:rsidRPr="00BC5AC5">
        <w:rPr>
          <w:sz w:val="23"/>
          <w:szCs w:val="23"/>
          <w:lang w:val="hr-HR"/>
        </w:rPr>
        <w:t xml:space="preserve"> sporazumi jednostavno se ne bi mogli okarakterizirati kao ograničavajući ukoliko bi se </w:t>
      </w:r>
      <w:r w:rsidRPr="00BC5AC5">
        <w:rPr>
          <w:sz w:val="23"/>
          <w:szCs w:val="23"/>
          <w:lang w:val="hr-HR"/>
        </w:rPr>
        <w:lastRenderedPageBreak/>
        <w:t xml:space="preserve">utvrđivali njihovi stvarni učinci na tržištu. Makar </w:t>
      </w:r>
      <w:proofErr w:type="spellStart"/>
      <w:r w:rsidRPr="00BC5AC5">
        <w:rPr>
          <w:sz w:val="23"/>
          <w:szCs w:val="23"/>
          <w:lang w:val="hr-HR"/>
        </w:rPr>
        <w:t>sekategorija</w:t>
      </w:r>
      <w:proofErr w:type="spellEnd"/>
      <w:r w:rsidRPr="00BC5AC5">
        <w:rPr>
          <w:sz w:val="23"/>
          <w:szCs w:val="23"/>
          <w:lang w:val="hr-HR"/>
        </w:rPr>
        <w:t xml:space="preserve"> ograničenja po cilju temeljila na presumpciji nužnih učinaka, niti jedno generalno pravili neće </w:t>
      </w:r>
      <w:r w:rsidR="009E18C5">
        <w:rPr>
          <w:sz w:val="23"/>
          <w:szCs w:val="23"/>
          <w:lang w:val="hr-HR"/>
        </w:rPr>
        <w:t>nužno vrijediti svugdje (sic!):</w:t>
      </w:r>
    </w:p>
    <w:p w:rsidR="00F54D7A" w:rsidRPr="00BC5AC5" w:rsidRDefault="00F54D7A" w:rsidP="00F54D7A">
      <w:pPr>
        <w:spacing w:line="480" w:lineRule="auto"/>
        <w:ind w:firstLine="708"/>
        <w:rPr>
          <w:lang w:val="hr-HR"/>
        </w:rPr>
      </w:pPr>
      <w:r w:rsidRPr="00BC5AC5">
        <w:rPr>
          <w:lang w:val="hr-HR"/>
        </w:rPr>
        <w:t xml:space="preserve">Kada se govori o Uredbi 1/2003 i modernizaciji procedure, najčešće se prvo spomene da nacionalna tijela sada mogu primjenjivati i članak 101(3) </w:t>
      </w:r>
      <w:proofErr w:type="spellStart"/>
      <w:r w:rsidRPr="00BC5AC5">
        <w:rPr>
          <w:lang w:val="hr-HR"/>
        </w:rPr>
        <w:t>UFEU</w:t>
      </w:r>
      <w:proofErr w:type="spellEnd"/>
      <w:r w:rsidRPr="00BC5AC5">
        <w:rPr>
          <w:lang w:val="hr-HR"/>
        </w:rPr>
        <w:t xml:space="preserve">. No takav zaključak, iako ispravan donekle upućuje na krivi zaključak. Uredba 1/2003 je odredila da članak 101(3) </w:t>
      </w:r>
      <w:proofErr w:type="spellStart"/>
      <w:r w:rsidRPr="00BC5AC5">
        <w:rPr>
          <w:lang w:val="hr-HR"/>
        </w:rPr>
        <w:t>UFEU</w:t>
      </w:r>
      <w:proofErr w:type="spellEnd"/>
      <w:r w:rsidRPr="00BC5AC5">
        <w:rPr>
          <w:lang w:val="hr-HR"/>
        </w:rPr>
        <w:t xml:space="preserve"> ima izravan učinak i da se stranke sporazuma mogu na njega pozivati i pred nacionalnim </w:t>
      </w:r>
      <w:r w:rsidR="009E18C5" w:rsidRPr="00BC5AC5">
        <w:rPr>
          <w:lang w:val="hr-HR"/>
        </w:rPr>
        <w:t>agencijama</w:t>
      </w:r>
      <w:r w:rsidRPr="00BC5AC5">
        <w:rPr>
          <w:lang w:val="hr-HR"/>
        </w:rPr>
        <w:t xml:space="preserve"> za zaštitu tržišnog natjecanja i nacionalnim sudovima. </w:t>
      </w:r>
      <w:r w:rsidR="009E18C5" w:rsidRPr="00BC5AC5">
        <w:rPr>
          <w:lang w:val="hr-HR"/>
        </w:rPr>
        <w:t>Nadležna</w:t>
      </w:r>
      <w:r w:rsidRPr="00BC5AC5">
        <w:rPr>
          <w:lang w:val="hr-HR"/>
        </w:rPr>
        <w:t xml:space="preserve"> tijela će dakako primijeniti pravo na konkretnu činjeničnu situaciju, no u tome su ograničenja u smislu vrste odluke koje mogu donijeti. U predmetu Tele2 </w:t>
      </w:r>
      <w:proofErr w:type="spellStart"/>
      <w:r w:rsidRPr="00BC5AC5">
        <w:rPr>
          <w:lang w:val="hr-HR"/>
        </w:rPr>
        <w:t>Polska</w:t>
      </w:r>
      <w:proofErr w:type="spellEnd"/>
      <w:r w:rsidR="001E3100">
        <w:rPr>
          <w:rStyle w:val="Referencafusnote"/>
          <w:lang w:val="hr-HR"/>
        </w:rPr>
        <w:footnoteReference w:id="106"/>
      </w:r>
      <w:r w:rsidRPr="00BC5AC5">
        <w:rPr>
          <w:lang w:val="hr-HR"/>
        </w:rPr>
        <w:t xml:space="preserve">, Sud je na temelju izraziti </w:t>
      </w:r>
      <w:proofErr w:type="spellStart"/>
      <w:r w:rsidRPr="00BC5AC5">
        <w:rPr>
          <w:lang w:val="hr-HR"/>
        </w:rPr>
        <w:t>gramičkog</w:t>
      </w:r>
      <w:proofErr w:type="spellEnd"/>
      <w:r w:rsidRPr="00BC5AC5">
        <w:rPr>
          <w:lang w:val="hr-HR"/>
        </w:rPr>
        <w:t xml:space="preserve"> tumačenja članka 5 Uredbe 1/2003 koji propisuje ovlasti nacionalnih agencija za zaštitu tržišnog natjecanja, zaključio da ta tijela mogu jedino donijeti odluke kojim utvrđuju da tržišno natjecanje ograničeno, odnosno da predmetni sporazum predstavlja </w:t>
      </w:r>
      <w:r w:rsidR="009E18C5" w:rsidRPr="00BC5AC5">
        <w:rPr>
          <w:lang w:val="hr-HR"/>
        </w:rPr>
        <w:t>ograničenje</w:t>
      </w:r>
      <w:r w:rsidRPr="00BC5AC5">
        <w:rPr>
          <w:lang w:val="hr-HR"/>
        </w:rPr>
        <w:t xml:space="preserve"> tržišnog natjecanja. Ukoliko nacionalno tijelo smatra da sporazum ne </w:t>
      </w:r>
      <w:r w:rsidR="009E18C5" w:rsidRPr="00BC5AC5">
        <w:rPr>
          <w:lang w:val="hr-HR"/>
        </w:rPr>
        <w:t>ograničava</w:t>
      </w:r>
      <w:r w:rsidRPr="00BC5AC5">
        <w:rPr>
          <w:lang w:val="hr-HR"/>
        </w:rPr>
        <w:t xml:space="preserve"> tržišno natjecanje u smislu članka 101(1) </w:t>
      </w:r>
      <w:proofErr w:type="spellStart"/>
      <w:r w:rsidRPr="00BC5AC5">
        <w:rPr>
          <w:lang w:val="hr-HR"/>
        </w:rPr>
        <w:t>UFEU</w:t>
      </w:r>
      <w:proofErr w:type="spellEnd"/>
      <w:r w:rsidRPr="00BC5AC5">
        <w:rPr>
          <w:lang w:val="hr-HR"/>
        </w:rPr>
        <w:t xml:space="preserve"> ili da zadovoljava uvjete iz članka 101(3) </w:t>
      </w:r>
      <w:proofErr w:type="spellStart"/>
      <w:r w:rsidRPr="00BC5AC5">
        <w:rPr>
          <w:lang w:val="hr-HR"/>
        </w:rPr>
        <w:t>UFEU</w:t>
      </w:r>
      <w:proofErr w:type="spellEnd"/>
      <w:r w:rsidRPr="00BC5AC5">
        <w:rPr>
          <w:lang w:val="hr-HR"/>
        </w:rPr>
        <w:t xml:space="preserve">, donijet će proceduralnu odluke kojom </w:t>
      </w:r>
      <w:proofErr w:type="spellStart"/>
      <w:r w:rsidRPr="00BC5AC5">
        <w:rPr>
          <w:lang w:val="hr-HR"/>
        </w:rPr>
        <w:t>zastavlja</w:t>
      </w:r>
      <w:proofErr w:type="spellEnd"/>
      <w:r w:rsidRPr="00BC5AC5">
        <w:rPr>
          <w:lang w:val="hr-HR"/>
        </w:rPr>
        <w:t xml:space="preserve"> postupak. Dakle, nacionalna tijela ne mogu donijeti meritornu odluku da tržišno natjecanje nije ograničeno. U praksi to znači da ne postoji prava prepreka da Komisija ponovno pokrene postupak i donese drugačiji zaključak. Nadalje, postoji mogućnost i da privatni tužitelj koji dokaže da ima pravni interes pokrene postupak pred sudom za utvrđenje da je određeni sporazum </w:t>
      </w:r>
      <w:proofErr w:type="spellStart"/>
      <w:r w:rsidRPr="00BC5AC5">
        <w:rPr>
          <w:lang w:val="hr-HR"/>
        </w:rPr>
        <w:t>ništetan</w:t>
      </w:r>
      <w:proofErr w:type="spellEnd"/>
      <w:r w:rsidRPr="00BC5AC5">
        <w:rPr>
          <w:lang w:val="hr-HR"/>
        </w:rPr>
        <w:t xml:space="preserve"> jer nije u skladu sa pravilima tržišnog natjecanja. Opisana situacija pridonosi pravnoj nesigurnosti i </w:t>
      </w:r>
    </w:p>
    <w:p w:rsidR="00F54D7A" w:rsidRPr="00BC5AC5" w:rsidRDefault="00F54D7A" w:rsidP="00F54D7A">
      <w:pPr>
        <w:spacing w:line="480" w:lineRule="auto"/>
        <w:ind w:firstLine="708"/>
        <w:rPr>
          <w:lang w:val="hr-HR"/>
        </w:rPr>
      </w:pPr>
      <w:r w:rsidRPr="00BC5AC5">
        <w:rPr>
          <w:lang w:val="hr-HR"/>
        </w:rPr>
        <w:t xml:space="preserve">Primjena pravila tržišnog natjecanja se u današnje vrijeme temelji ponajprije na samo-procijeni stranaka. Stoga su od presudne važnosti da je pravilo, pa tako i ono o tome što je </w:t>
      </w:r>
      <w:r w:rsidRPr="00BC5AC5">
        <w:rPr>
          <w:lang w:val="hr-HR"/>
        </w:rPr>
        <w:lastRenderedPageBreak/>
        <w:t xml:space="preserve">ograničenje tržišnog natjecanja po cilju, jasno definirano i precizirano. U postojećoj situaciji to se ponajprije odnosi na jasna generalna pravila utemeljena na presudama europskih sudova. Kako nacionalna tijela nemoću odlučivati, stranke ne mogu temeljiti svoja legitimna očekivanja na njihovim individualnim uputama. </w:t>
      </w:r>
    </w:p>
    <w:p w:rsidR="00F54D7A" w:rsidRPr="00BC5AC5" w:rsidRDefault="00F54D7A" w:rsidP="00F54D7A">
      <w:pPr>
        <w:spacing w:line="480" w:lineRule="auto"/>
        <w:ind w:firstLine="708"/>
        <w:rPr>
          <w:lang w:val="hr-HR"/>
        </w:rPr>
      </w:pPr>
      <w:r w:rsidRPr="00BC5AC5">
        <w:rPr>
          <w:lang w:val="hr-HR"/>
        </w:rPr>
        <w:t xml:space="preserve">Paradoksalno prijašnji sustav je barem u jednom dijelu pružao viši stupanja pravne sigurnosti poduzetnicima. Naime, poduzetnici koji su </w:t>
      </w:r>
      <w:proofErr w:type="spellStart"/>
      <w:r w:rsidRPr="00BC5AC5">
        <w:rPr>
          <w:lang w:val="hr-HR"/>
        </w:rPr>
        <w:t>notificirali</w:t>
      </w:r>
      <w:proofErr w:type="spellEnd"/>
      <w:r w:rsidRPr="00BC5AC5">
        <w:rPr>
          <w:lang w:val="hr-HR"/>
        </w:rPr>
        <w:t xml:space="preserve"> svoj sporazum su imali imunitet od novčanih kazni</w:t>
      </w:r>
      <w:r w:rsidRPr="00BC5AC5">
        <w:rPr>
          <w:rStyle w:val="Referencafusnote"/>
          <w:lang w:val="hr-HR"/>
        </w:rPr>
        <w:footnoteReference w:id="107"/>
      </w:r>
      <w:r w:rsidRPr="00BC5AC5">
        <w:rPr>
          <w:lang w:val="hr-HR"/>
        </w:rPr>
        <w:t xml:space="preserve">. Dakako, ukoliko bi Komisija došla do zaključka da je njihov sporazum zabranjen i da ne zadovoljava kriterije iz članka 101(3), takav sporazum bi bio </w:t>
      </w:r>
      <w:proofErr w:type="spellStart"/>
      <w:r w:rsidRPr="00BC5AC5">
        <w:rPr>
          <w:lang w:val="hr-HR"/>
        </w:rPr>
        <w:t>ništetan</w:t>
      </w:r>
      <w:proofErr w:type="spellEnd"/>
      <w:r w:rsidRPr="00BC5AC5">
        <w:rPr>
          <w:lang w:val="hr-HR"/>
        </w:rPr>
        <w:t xml:space="preserve"> i </w:t>
      </w:r>
      <w:proofErr w:type="spellStart"/>
      <w:r w:rsidRPr="00BC5AC5">
        <w:rPr>
          <w:lang w:val="hr-HR"/>
        </w:rPr>
        <w:t>stranake</w:t>
      </w:r>
      <w:proofErr w:type="spellEnd"/>
      <w:r w:rsidRPr="00BC5AC5">
        <w:rPr>
          <w:lang w:val="hr-HR"/>
        </w:rPr>
        <w:t xml:space="preserve"> bi bile suočene sa svim pravnim p</w:t>
      </w:r>
      <w:r w:rsidR="009E18C5">
        <w:rPr>
          <w:lang w:val="hr-HR"/>
        </w:rPr>
        <w:t xml:space="preserve">osljedicama. No, Komisija nije </w:t>
      </w:r>
      <w:r w:rsidRPr="00BC5AC5">
        <w:rPr>
          <w:lang w:val="hr-HR"/>
        </w:rPr>
        <w:t xml:space="preserve">imala ovlast takvim poduzetnicima odrediti novčane kazne. Ukoliko uzmemo u obzir da se u kontekstu ograničenja po cilju redovito radi o vrlo visokim, više milijunskim iznosima, jasno je zašto je Komisija bila suočena s toliko velikim brojem </w:t>
      </w:r>
      <w:proofErr w:type="spellStart"/>
      <w:r w:rsidRPr="00BC5AC5">
        <w:rPr>
          <w:lang w:val="hr-HR"/>
        </w:rPr>
        <w:t>notificiranih</w:t>
      </w:r>
      <w:proofErr w:type="spellEnd"/>
      <w:r w:rsidRPr="00BC5AC5">
        <w:rPr>
          <w:lang w:val="hr-HR"/>
        </w:rPr>
        <w:t xml:space="preserve"> sporazuma.</w:t>
      </w:r>
    </w:p>
    <w:p w:rsidR="00F54D7A" w:rsidRPr="00BC5AC5" w:rsidRDefault="00F54D7A" w:rsidP="00F54D7A">
      <w:pPr>
        <w:spacing w:line="480" w:lineRule="auto"/>
        <w:ind w:firstLine="708"/>
        <w:rPr>
          <w:lang w:val="hr-HR"/>
        </w:rPr>
      </w:pPr>
      <w:r w:rsidRPr="00BC5AC5">
        <w:rPr>
          <w:lang w:val="hr-HR"/>
        </w:rPr>
        <w:t xml:space="preserve">Prema sadašnjem sustavu, stranke su velikim dijelom prepuštene samo procijeni i savjetima odvjetnika i ekonomista. Nužna pri tome istaknuti da bi poduzetnik namjerno prekršio članak 101 </w:t>
      </w:r>
      <w:proofErr w:type="spellStart"/>
      <w:r w:rsidRPr="00BC5AC5">
        <w:rPr>
          <w:lang w:val="hr-HR"/>
        </w:rPr>
        <w:t>UFEU</w:t>
      </w:r>
      <w:proofErr w:type="spellEnd"/>
      <w:r w:rsidRPr="00BC5AC5">
        <w:rPr>
          <w:lang w:val="hr-HR"/>
        </w:rPr>
        <w:t xml:space="preserve"> nije potrebno da je znao da je njegovo ponašanje zabranjeno. Dovoljno je samo da je morao biti svjestan protu-tržišne prirode svog sporazuma. Pri tome se ne može osloniti niti na savjet nacionalnih tijela, niti na savjet odvjetnika. </w:t>
      </w:r>
    </w:p>
    <w:p w:rsidR="00F54D7A" w:rsidRPr="00BC5AC5" w:rsidRDefault="00F54D7A" w:rsidP="00F54D7A">
      <w:pPr>
        <w:spacing w:line="480" w:lineRule="auto"/>
        <w:ind w:firstLine="708"/>
        <w:rPr>
          <w:lang w:val="hr-HR"/>
        </w:rPr>
      </w:pPr>
    </w:p>
    <w:p w:rsidR="00F54D7A" w:rsidRPr="00BC5AC5" w:rsidRDefault="00F54D7A" w:rsidP="00F54D7A">
      <w:pPr>
        <w:spacing w:line="480" w:lineRule="auto"/>
        <w:ind w:firstLine="708"/>
        <w:rPr>
          <w:lang w:val="hr-HR"/>
        </w:rPr>
      </w:pPr>
    </w:p>
    <w:p w:rsidR="00F54D7A" w:rsidRPr="00BC5AC5" w:rsidRDefault="00F54D7A" w:rsidP="00F54D7A">
      <w:pPr>
        <w:spacing w:line="480" w:lineRule="auto"/>
        <w:ind w:firstLine="708"/>
        <w:rPr>
          <w:lang w:val="hr-HR"/>
        </w:rPr>
      </w:pPr>
    </w:p>
    <w:p w:rsidR="00500882" w:rsidRPr="008C78FC" w:rsidRDefault="00500882">
      <w:pPr>
        <w:spacing w:line="240" w:lineRule="auto"/>
        <w:jc w:val="left"/>
        <w:rPr>
          <w:rFonts w:eastAsiaTheme="majorEastAsia"/>
          <w:b/>
          <w:bCs/>
          <w:color w:val="365F91" w:themeColor="accent1" w:themeShade="BF"/>
          <w:sz w:val="28"/>
          <w:szCs w:val="28"/>
          <w:lang w:val="hr-HR"/>
        </w:rPr>
      </w:pPr>
    </w:p>
    <w:p w:rsidR="00C078B3" w:rsidRPr="008C78FC" w:rsidRDefault="00121C50" w:rsidP="006F0432">
      <w:pPr>
        <w:pStyle w:val="Naslov1"/>
        <w:numPr>
          <w:ilvl w:val="0"/>
          <w:numId w:val="9"/>
        </w:numPr>
        <w:rPr>
          <w:rFonts w:ascii="Times New Roman" w:hAnsi="Times New Roman" w:cs="Times New Roman"/>
          <w:lang w:val="hr-HR"/>
        </w:rPr>
      </w:pPr>
      <w:bookmarkStart w:id="17" w:name="_Toc381547544"/>
      <w:r w:rsidRPr="008C78FC">
        <w:rPr>
          <w:rFonts w:ascii="Times New Roman" w:hAnsi="Times New Roman" w:cs="Times New Roman"/>
          <w:lang w:val="hr-HR"/>
        </w:rPr>
        <w:lastRenderedPageBreak/>
        <w:t>Zaključak</w:t>
      </w:r>
      <w:bookmarkEnd w:id="17"/>
    </w:p>
    <w:p w:rsidR="000976EB" w:rsidRPr="008C78FC" w:rsidRDefault="000976EB" w:rsidP="008348AC">
      <w:pPr>
        <w:rPr>
          <w:lang w:val="hr-HR"/>
        </w:rPr>
      </w:pPr>
    </w:p>
    <w:p w:rsidR="003630B4" w:rsidRPr="008C78FC" w:rsidRDefault="00DB2807" w:rsidP="003630B4">
      <w:pPr>
        <w:spacing w:line="480" w:lineRule="auto"/>
        <w:ind w:firstLine="708"/>
        <w:rPr>
          <w:lang w:val="hr-HR"/>
        </w:rPr>
      </w:pPr>
      <w:r w:rsidRPr="008C78FC">
        <w:rPr>
          <w:lang w:val="hr-HR"/>
        </w:rPr>
        <w:t xml:space="preserve">Ovaj rad je pokušao dati sveobuhvatan prikaz ograničenja tržišnog natjecanja i razjasniti taj ‘složen mozaik onoga što je dozvoljeno i što je zabranjeno prema članku 101 </w:t>
      </w:r>
      <w:proofErr w:type="spellStart"/>
      <w:r w:rsidRPr="008C78FC">
        <w:rPr>
          <w:lang w:val="hr-HR"/>
        </w:rPr>
        <w:t>UFEU</w:t>
      </w:r>
      <w:proofErr w:type="spellEnd"/>
      <w:r w:rsidRPr="008C78FC">
        <w:rPr>
          <w:lang w:val="hr-HR"/>
        </w:rPr>
        <w:t>’</w:t>
      </w:r>
      <w:r w:rsidRPr="008C78FC">
        <w:rPr>
          <w:rStyle w:val="Referencafusnote"/>
          <w:lang w:val="hr-HR"/>
        </w:rPr>
        <w:footnoteReference w:id="108"/>
      </w:r>
      <w:r w:rsidR="00555BC6" w:rsidRPr="008C78FC">
        <w:rPr>
          <w:lang w:val="hr-HR"/>
        </w:rPr>
        <w:t xml:space="preserve">. Proceduralnom modernizacijom tržišnog natjecanja, ukidanjem notifikacije i monopola Komisije u primjeni iznimke iz članka 101(3) </w:t>
      </w:r>
      <w:proofErr w:type="spellStart"/>
      <w:r w:rsidR="00555BC6" w:rsidRPr="008C78FC">
        <w:rPr>
          <w:lang w:val="hr-HR"/>
        </w:rPr>
        <w:t>UFEU</w:t>
      </w:r>
      <w:proofErr w:type="spellEnd"/>
      <w:r w:rsidR="00555BC6" w:rsidRPr="008C78FC">
        <w:rPr>
          <w:lang w:val="hr-HR"/>
        </w:rPr>
        <w:t xml:space="preserve">, postavljen je još veći zahtjev jasnoći pravih pravila tržišnog natjecanja. </w:t>
      </w:r>
      <w:r w:rsidR="003630B4" w:rsidRPr="008C78FC">
        <w:rPr>
          <w:lang w:val="hr-HR"/>
        </w:rPr>
        <w:t xml:space="preserve">modelima može dovesti do, ironično, manje ekonomske analize stvarnih uvjeta. Razjašnjavanju ovog pitanja nikako ne pridonosi recentna praska europskih sudova i Komisije koja pokazuje da postoji određeni stupanj neslaganja oko koncepta ograničenje tržišnog natjecanja po cilju. </w:t>
      </w:r>
    </w:p>
    <w:p w:rsidR="00555BC6" w:rsidRPr="008C78FC" w:rsidRDefault="00C078B3" w:rsidP="003630B4">
      <w:pPr>
        <w:spacing w:line="480" w:lineRule="auto"/>
        <w:ind w:firstLine="708"/>
        <w:rPr>
          <w:lang w:val="hr-HR"/>
        </w:rPr>
      </w:pPr>
      <w:r w:rsidRPr="008C78FC">
        <w:rPr>
          <w:lang w:val="hr-HR"/>
        </w:rPr>
        <w:t>Velik dio diskusije oko problematike ograničenja tržišnog natjecanja u europskom pravu se svodi na kritiku izostanka ekonomski orijentirane analize. No, i</w:t>
      </w:r>
      <w:r w:rsidR="003630B4" w:rsidRPr="008C78FC">
        <w:rPr>
          <w:lang w:val="hr-HR"/>
        </w:rPr>
        <w:t>z prikazane</w:t>
      </w:r>
      <w:r w:rsidRPr="008C78FC">
        <w:rPr>
          <w:lang w:val="hr-HR"/>
        </w:rPr>
        <w:t xml:space="preserve"> praske europskih sudova jasno proizlazi da se problematika tumačenja članka 101 </w:t>
      </w:r>
      <w:proofErr w:type="spellStart"/>
      <w:r w:rsidRPr="008C78FC">
        <w:rPr>
          <w:lang w:val="hr-HR"/>
        </w:rPr>
        <w:t>UFEU</w:t>
      </w:r>
      <w:proofErr w:type="spellEnd"/>
      <w:r w:rsidRPr="008C78FC">
        <w:rPr>
          <w:lang w:val="hr-HR"/>
        </w:rPr>
        <w:t xml:space="preserve"> ne može se svesti na blanketno zagovaranje primjene pravila razuma iz američkog prava tržišnog natjecanja. Recentna praksa Suda pokazuje da je kontekstualna ekonomska analiza od presudne važnosti, ali ujedno ilustrira da primjena prava bazirana na apstraktnim ekonomskim </w:t>
      </w:r>
    </w:p>
    <w:p w:rsidR="00555BC6" w:rsidRPr="008C78FC" w:rsidRDefault="00555BC6" w:rsidP="002630C4">
      <w:pPr>
        <w:spacing w:line="480" w:lineRule="auto"/>
        <w:ind w:firstLine="708"/>
        <w:rPr>
          <w:lang w:val="hr-HR"/>
        </w:rPr>
      </w:pPr>
      <w:r w:rsidRPr="008C78FC">
        <w:rPr>
          <w:lang w:val="hr-HR"/>
        </w:rPr>
        <w:t>Iz tog razloga je nužno da se jasno postavi strukturirani okvir analize protu</w:t>
      </w:r>
      <w:r w:rsidR="003630B4" w:rsidRPr="008C78FC">
        <w:rPr>
          <w:lang w:val="hr-HR"/>
        </w:rPr>
        <w:t>-t</w:t>
      </w:r>
      <w:r w:rsidRPr="008C78FC">
        <w:rPr>
          <w:lang w:val="hr-HR"/>
        </w:rPr>
        <w:t xml:space="preserve">ržišnog cilj sporazuma. Prvi korak je utvrđivanje sadržaj sporazuma. Ukoliko sporazum sadrži neku od </w:t>
      </w:r>
      <w:r w:rsidR="0081680C" w:rsidRPr="008C78FC">
        <w:rPr>
          <w:lang w:val="hr-HR"/>
        </w:rPr>
        <w:t xml:space="preserve">ugovornih ograničenja koja su praksom Suda utvrđena kao ograničenja po cilju, dolazi do </w:t>
      </w:r>
      <w:r w:rsidR="0081680C" w:rsidRPr="008C78FC">
        <w:rPr>
          <w:i/>
          <w:lang w:val="hr-HR"/>
        </w:rPr>
        <w:t xml:space="preserve">prima </w:t>
      </w:r>
      <w:proofErr w:type="spellStart"/>
      <w:r w:rsidR="0081680C" w:rsidRPr="008C78FC">
        <w:rPr>
          <w:i/>
          <w:lang w:val="hr-HR"/>
        </w:rPr>
        <w:t>facie</w:t>
      </w:r>
      <w:r w:rsidR="0081680C" w:rsidRPr="008C78FC">
        <w:rPr>
          <w:lang w:val="hr-HR"/>
        </w:rPr>
        <w:t>ograničenja</w:t>
      </w:r>
      <w:proofErr w:type="spellEnd"/>
      <w:r w:rsidR="0081680C" w:rsidRPr="008C78FC">
        <w:rPr>
          <w:lang w:val="hr-HR"/>
        </w:rPr>
        <w:t xml:space="preserve"> tržišnog natjecanja. No, u okviru druge razine analize stranke mogu se pozivati na legitimne ciljeve koje slijede. Pri tome, teret dokaza ostaje na </w:t>
      </w:r>
      <w:proofErr w:type="spellStart"/>
      <w:r w:rsidR="0081680C" w:rsidRPr="008C78FC">
        <w:rPr>
          <w:lang w:val="hr-HR"/>
        </w:rPr>
        <w:t>Komisji</w:t>
      </w:r>
      <w:proofErr w:type="spellEnd"/>
      <w:r w:rsidR="0081680C" w:rsidRPr="008C78FC">
        <w:rPr>
          <w:lang w:val="hr-HR"/>
        </w:rPr>
        <w:t>, te ona nužno mora uzeti u obzir argumente koje su joj podastriješe stranke.</w:t>
      </w:r>
    </w:p>
    <w:p w:rsidR="00555BC6" w:rsidRPr="008C78FC" w:rsidRDefault="00555BC6" w:rsidP="002630C4">
      <w:pPr>
        <w:spacing w:line="480" w:lineRule="auto"/>
        <w:ind w:firstLine="708"/>
        <w:rPr>
          <w:lang w:val="hr-HR"/>
        </w:rPr>
      </w:pPr>
      <w:r w:rsidRPr="008C78FC">
        <w:rPr>
          <w:lang w:val="hr-HR"/>
        </w:rPr>
        <w:lastRenderedPageBreak/>
        <w:t xml:space="preserve">Sličan pristup je primjeren i u kontekstu tzv. Tvrdokornih ograničenja tržišnog natjecanja koja su izuzeta iz Uredbi o skupnom izuzeću. Naime, komisije je u popratnim </w:t>
      </w:r>
      <w:r w:rsidRPr="008C78FC">
        <w:rPr>
          <w:i/>
          <w:lang w:val="hr-HR"/>
        </w:rPr>
        <w:t xml:space="preserve">soft </w:t>
      </w:r>
      <w:proofErr w:type="spellStart"/>
      <w:r w:rsidRPr="008C78FC">
        <w:rPr>
          <w:i/>
          <w:lang w:val="hr-HR"/>
        </w:rPr>
        <w:t>law</w:t>
      </w:r>
      <w:proofErr w:type="spellEnd"/>
      <w:r w:rsidR="009E18C5">
        <w:rPr>
          <w:i/>
          <w:lang w:val="hr-HR"/>
        </w:rPr>
        <w:t xml:space="preserve"> </w:t>
      </w:r>
      <w:r w:rsidRPr="008C78FC">
        <w:rPr>
          <w:lang w:val="hr-HR"/>
        </w:rPr>
        <w:t xml:space="preserve">instrumentima prepoznala da i sporazum koji </w:t>
      </w:r>
      <w:r w:rsidRPr="008C78FC">
        <w:rPr>
          <w:i/>
          <w:lang w:val="hr-HR"/>
        </w:rPr>
        <w:t xml:space="preserve">prima </w:t>
      </w:r>
      <w:proofErr w:type="spellStart"/>
      <w:r w:rsidRPr="008C78FC">
        <w:rPr>
          <w:i/>
          <w:lang w:val="hr-HR"/>
        </w:rPr>
        <w:t>facie</w:t>
      </w:r>
      <w:proofErr w:type="spellEnd"/>
      <w:r w:rsidR="009E18C5">
        <w:rPr>
          <w:i/>
          <w:lang w:val="hr-HR"/>
        </w:rPr>
        <w:t xml:space="preserve"> </w:t>
      </w:r>
      <w:r w:rsidRPr="008C78FC">
        <w:rPr>
          <w:lang w:val="hr-HR"/>
        </w:rPr>
        <w:t xml:space="preserve">sadrži ograničenje koje je na ‘crnoj listi’ nije nužno protivno članku 101(1) </w:t>
      </w:r>
      <w:proofErr w:type="spellStart"/>
      <w:r w:rsidRPr="008C78FC">
        <w:rPr>
          <w:lang w:val="hr-HR"/>
        </w:rPr>
        <w:t>UFEU</w:t>
      </w:r>
      <w:proofErr w:type="spellEnd"/>
      <w:r w:rsidRPr="008C78FC">
        <w:rPr>
          <w:lang w:val="hr-HR"/>
        </w:rPr>
        <w:t xml:space="preserve">. No, navođenjem konkretnih primjera nije nužno </w:t>
      </w:r>
      <w:proofErr w:type="spellStart"/>
      <w:r w:rsidRPr="008C78FC">
        <w:rPr>
          <w:lang w:val="hr-HR"/>
        </w:rPr>
        <w:t>najoptimalniji</w:t>
      </w:r>
      <w:proofErr w:type="spellEnd"/>
      <w:r w:rsidRPr="008C78FC">
        <w:rPr>
          <w:lang w:val="hr-HR"/>
        </w:rPr>
        <w:t xml:space="preserve"> pristup u propisima opće naravi. </w:t>
      </w:r>
      <w:r w:rsidR="00C54429" w:rsidRPr="008C78FC">
        <w:rPr>
          <w:lang w:val="hr-HR"/>
        </w:rPr>
        <w:t xml:space="preserve">Naime, zastupa se stajalište da Komisija konkretizira ekonomsku logiku na kojoj temelji zaključak da bi primjerice Kao koristan instrument mogu poslužiti opći i dobro poznati instituti ekonomske teorije – poput sloma tržišta. </w:t>
      </w:r>
    </w:p>
    <w:p w:rsidR="00C54429" w:rsidRPr="008C78FC" w:rsidRDefault="00C54429" w:rsidP="002630C4">
      <w:pPr>
        <w:spacing w:line="480" w:lineRule="auto"/>
        <w:ind w:firstLine="708"/>
        <w:rPr>
          <w:lang w:val="hr-HR"/>
        </w:rPr>
      </w:pPr>
      <w:r w:rsidRPr="008C78FC">
        <w:rPr>
          <w:lang w:val="hr-HR"/>
        </w:rPr>
        <w:t xml:space="preserve">Iz presuda u premetima </w:t>
      </w:r>
      <w:proofErr w:type="spellStart"/>
      <w:r w:rsidRPr="008C78FC">
        <w:rPr>
          <w:i/>
          <w:lang w:val="hr-HR"/>
        </w:rPr>
        <w:t>BIDS</w:t>
      </w:r>
      <w:proofErr w:type="spellEnd"/>
      <w:r w:rsidRPr="008C78FC">
        <w:rPr>
          <w:i/>
          <w:lang w:val="hr-HR"/>
        </w:rPr>
        <w:t xml:space="preserve">, T-Mobile i Allianz </w:t>
      </w:r>
      <w:proofErr w:type="spellStart"/>
      <w:r w:rsidRPr="008C78FC">
        <w:rPr>
          <w:i/>
          <w:lang w:val="hr-HR"/>
        </w:rPr>
        <w:t>Hungaria</w:t>
      </w:r>
      <w:proofErr w:type="spellEnd"/>
      <w:r w:rsidR="009E18C5">
        <w:rPr>
          <w:i/>
          <w:lang w:val="hr-HR"/>
        </w:rPr>
        <w:t xml:space="preserve"> </w:t>
      </w:r>
      <w:r w:rsidRPr="008C78FC">
        <w:rPr>
          <w:lang w:val="hr-HR"/>
        </w:rPr>
        <w:t>proizlazi da koncept ograničenja po cilju se ne</w:t>
      </w:r>
      <w:r w:rsidR="009E18C5">
        <w:rPr>
          <w:lang w:val="hr-HR"/>
        </w:rPr>
        <w:t xml:space="preserve"> </w:t>
      </w:r>
      <w:r w:rsidRPr="008C78FC">
        <w:rPr>
          <w:lang w:val="hr-HR"/>
        </w:rPr>
        <w:t xml:space="preserve">može izjednačiti isključivo sa očitim ograničenjima tržišnog natjecanja. U načelu, razvoj nove metode koja bi nadležnim tijelima omogućila da razriješe složena pitanja ograničenja tržišnog natjecanja s kojim se prije nisu sreli. Međutim, upitno je koliko je svrsishodno da se takva pitanja razrješavaju u sklopu kategorije ograničenja po cilju.  Relativiziranje razlike između kategorije ograničenja po cilju i ograničenja po učinku, istovremeno ignorira razvoj praske po drugim </w:t>
      </w:r>
      <w:r w:rsidR="003630B4" w:rsidRPr="008C78FC">
        <w:rPr>
          <w:lang w:val="hr-HR"/>
        </w:rPr>
        <w:t>supstancijalnim</w:t>
      </w:r>
      <w:r w:rsidR="009E18C5">
        <w:rPr>
          <w:lang w:val="hr-HR"/>
        </w:rPr>
        <w:t xml:space="preserve"> </w:t>
      </w:r>
      <w:r w:rsidR="003630B4" w:rsidRPr="008C78FC">
        <w:rPr>
          <w:lang w:val="hr-HR"/>
        </w:rPr>
        <w:t>sadržajima</w:t>
      </w:r>
      <w:r w:rsidRPr="008C78FC">
        <w:rPr>
          <w:lang w:val="hr-HR"/>
        </w:rPr>
        <w:t xml:space="preserve"> član</w:t>
      </w:r>
      <w:r w:rsidR="00D6304A" w:rsidRPr="008C78FC">
        <w:rPr>
          <w:lang w:val="hr-HR"/>
        </w:rPr>
        <w:t>a</w:t>
      </w:r>
      <w:r w:rsidRPr="008C78FC">
        <w:rPr>
          <w:lang w:val="hr-HR"/>
        </w:rPr>
        <w:t xml:space="preserve">k </w:t>
      </w:r>
      <w:r w:rsidR="003630B4" w:rsidRPr="008C78FC">
        <w:rPr>
          <w:lang w:val="hr-HR"/>
        </w:rPr>
        <w:t>a</w:t>
      </w:r>
      <w:r w:rsidRPr="008C78FC">
        <w:rPr>
          <w:lang w:val="hr-HR"/>
        </w:rPr>
        <w:t xml:space="preserve">101 </w:t>
      </w:r>
      <w:proofErr w:type="spellStart"/>
      <w:r w:rsidRPr="008C78FC">
        <w:rPr>
          <w:lang w:val="hr-HR"/>
        </w:rPr>
        <w:t>UFEU</w:t>
      </w:r>
      <w:proofErr w:type="spellEnd"/>
      <w:r w:rsidRPr="008C78FC">
        <w:rPr>
          <w:lang w:val="hr-HR"/>
        </w:rPr>
        <w:t xml:space="preserve">. Naime, kako svari stoje </w:t>
      </w:r>
      <w:r w:rsidRPr="008C78FC">
        <w:rPr>
          <w:i/>
          <w:lang w:val="hr-HR"/>
        </w:rPr>
        <w:t xml:space="preserve">Expedia </w:t>
      </w:r>
      <w:r w:rsidRPr="008C78FC">
        <w:rPr>
          <w:lang w:val="hr-HR"/>
        </w:rPr>
        <w:t xml:space="preserve">je označila kraj primjene </w:t>
      </w:r>
      <w:r w:rsidRPr="008C78FC">
        <w:rPr>
          <w:i/>
          <w:lang w:val="hr-HR"/>
        </w:rPr>
        <w:t xml:space="preserve">de </w:t>
      </w:r>
      <w:proofErr w:type="spellStart"/>
      <w:r w:rsidRPr="008C78FC">
        <w:rPr>
          <w:i/>
          <w:lang w:val="hr-HR"/>
        </w:rPr>
        <w:t>minimis</w:t>
      </w:r>
      <w:proofErr w:type="spellEnd"/>
      <w:r w:rsidRPr="008C78FC">
        <w:rPr>
          <w:i/>
          <w:lang w:val="hr-HR"/>
        </w:rPr>
        <w:t xml:space="preserve"> doktrine </w:t>
      </w:r>
      <w:r w:rsidRPr="008C78FC">
        <w:rPr>
          <w:lang w:val="hr-HR"/>
        </w:rPr>
        <w:t xml:space="preserve">za ograničenja po cilju. To dovodi do situacije da je poduzetnicima čiji sporazumi spadaju u doseg </w:t>
      </w:r>
      <w:r w:rsidRPr="008C78FC">
        <w:rPr>
          <w:i/>
          <w:lang w:val="hr-HR"/>
        </w:rPr>
        <w:t xml:space="preserve">De </w:t>
      </w:r>
      <w:proofErr w:type="spellStart"/>
      <w:r w:rsidRPr="008C78FC">
        <w:rPr>
          <w:i/>
          <w:lang w:val="hr-HR"/>
        </w:rPr>
        <w:t>minimis</w:t>
      </w:r>
      <w:proofErr w:type="spellEnd"/>
      <w:r w:rsidRPr="008C78FC">
        <w:rPr>
          <w:i/>
          <w:lang w:val="hr-HR"/>
        </w:rPr>
        <w:t xml:space="preserve"> Priopćenja</w:t>
      </w:r>
      <w:r w:rsidRPr="008C78FC">
        <w:rPr>
          <w:lang w:val="hr-HR"/>
        </w:rPr>
        <w:t xml:space="preserve"> prema tržišnom udjelu stranaka, je od presudne važnosti da li je njihov ugovor ograničenje po cilju ili učinku. </w:t>
      </w:r>
    </w:p>
    <w:p w:rsidR="003630B4" w:rsidRPr="008C78FC" w:rsidRDefault="002630C4" w:rsidP="003630B4">
      <w:pPr>
        <w:spacing w:line="480" w:lineRule="auto"/>
        <w:ind w:firstLine="708"/>
        <w:rPr>
          <w:rFonts w:eastAsiaTheme="majorEastAsia"/>
          <w:b/>
          <w:bCs/>
          <w:color w:val="365F91" w:themeColor="accent1" w:themeShade="BF"/>
          <w:sz w:val="28"/>
          <w:szCs w:val="28"/>
          <w:lang w:val="hr-HR"/>
        </w:rPr>
      </w:pPr>
      <w:r w:rsidRPr="008C78FC">
        <w:rPr>
          <w:lang w:val="hr-HR"/>
        </w:rPr>
        <w:t xml:space="preserve">Pri tumačenju cilja ne smije se izgubiti iz vida svrha i </w:t>
      </w:r>
      <w:proofErr w:type="spellStart"/>
      <w:r w:rsidRPr="008C78FC">
        <w:rPr>
          <w:lang w:val="hr-HR"/>
        </w:rPr>
        <w:t>ratio</w:t>
      </w:r>
      <w:proofErr w:type="spellEnd"/>
      <w:r w:rsidRPr="008C78FC">
        <w:rPr>
          <w:lang w:val="hr-HR"/>
        </w:rPr>
        <w:t xml:space="preserve"> instituta. Preširoko tumačenje dosega zabrane i nejasna primjena ekonomskog konteksta možda dosta olakšava djelatnost Komisije i No, ujedno dolazi do nesigurnosti u tržištu kada poduzetnici mogu procijeniti da rizik jednostavno nije vrijedan.</w:t>
      </w:r>
    </w:p>
    <w:p w:rsidR="002179FA" w:rsidRPr="008C78FC" w:rsidRDefault="001B6852" w:rsidP="003630B4">
      <w:pPr>
        <w:spacing w:line="480" w:lineRule="auto"/>
        <w:ind w:firstLine="708"/>
        <w:rPr>
          <w:rFonts w:eastAsiaTheme="majorEastAsia"/>
          <w:b/>
          <w:bCs/>
          <w:color w:val="365F91" w:themeColor="accent1" w:themeShade="BF"/>
          <w:sz w:val="28"/>
          <w:szCs w:val="28"/>
          <w:lang w:val="hr-HR"/>
        </w:rPr>
      </w:pPr>
      <w:r w:rsidRPr="008C78FC">
        <w:rPr>
          <w:lang w:val="hr-HR"/>
        </w:rPr>
        <w:lastRenderedPageBreak/>
        <w:t xml:space="preserve">U predmetu </w:t>
      </w:r>
      <w:proofErr w:type="spellStart"/>
      <w:r w:rsidRPr="008C78FC">
        <w:rPr>
          <w:i/>
          <w:lang w:val="hr-HR"/>
        </w:rPr>
        <w:t>Telephonica</w:t>
      </w:r>
      <w:proofErr w:type="spellEnd"/>
      <w:r w:rsidRPr="008C78FC">
        <w:rPr>
          <w:i/>
          <w:lang w:val="hr-HR"/>
        </w:rPr>
        <w:t xml:space="preserve"> protiv Komisije </w:t>
      </w:r>
      <w:r w:rsidRPr="008C78FC">
        <w:rPr>
          <w:lang w:val="hr-HR"/>
        </w:rPr>
        <w:t xml:space="preserve">nezavisni odvjetnik </w:t>
      </w:r>
      <w:proofErr w:type="spellStart"/>
      <w:r w:rsidRPr="008C78FC">
        <w:rPr>
          <w:lang w:val="hr-HR"/>
        </w:rPr>
        <w:t>Wathelet</w:t>
      </w:r>
      <w:proofErr w:type="spellEnd"/>
      <w:r w:rsidRPr="008C78FC">
        <w:rPr>
          <w:rStyle w:val="Referencafusnote"/>
          <w:lang w:val="hr-HR"/>
        </w:rPr>
        <w:footnoteReference w:id="109"/>
      </w:r>
      <w:r w:rsidRPr="008C78FC">
        <w:rPr>
          <w:lang w:val="hr-HR"/>
        </w:rPr>
        <w:t xml:space="preserve"> je uputio </w:t>
      </w:r>
      <w:r w:rsidR="003630B4" w:rsidRPr="008C78FC">
        <w:rPr>
          <w:lang w:val="hr-HR"/>
        </w:rPr>
        <w:t>kritiku</w:t>
      </w:r>
      <w:r w:rsidRPr="008C78FC">
        <w:rPr>
          <w:lang w:val="hr-HR"/>
        </w:rPr>
        <w:t xml:space="preserve"> strankama ocijenivši iznesenu argumentaciju kao nejasnu i loše strukturiranu. Iz izloženog proizlazi da bi se slična kritika bi se mogla uputiti i samom Sudu, barem što se tiče </w:t>
      </w:r>
      <w:proofErr w:type="spellStart"/>
      <w:r w:rsidRPr="008C78FC">
        <w:rPr>
          <w:lang w:val="hr-HR"/>
        </w:rPr>
        <w:t>jurisprudencije</w:t>
      </w:r>
      <w:proofErr w:type="spellEnd"/>
      <w:r w:rsidRPr="008C78FC">
        <w:rPr>
          <w:lang w:val="hr-HR"/>
        </w:rPr>
        <w:t xml:space="preserve"> na pitanje ograničenja tržišnog natjecanja.</w:t>
      </w:r>
    </w:p>
    <w:p w:rsidR="002630C4" w:rsidRPr="008C78FC" w:rsidRDefault="002630C4" w:rsidP="002630C4">
      <w:pPr>
        <w:spacing w:line="480" w:lineRule="auto"/>
        <w:jc w:val="left"/>
        <w:rPr>
          <w:rFonts w:eastAsiaTheme="majorEastAsia"/>
          <w:b/>
          <w:bCs/>
          <w:color w:val="365F91" w:themeColor="accent1" w:themeShade="BF"/>
          <w:sz w:val="28"/>
          <w:szCs w:val="28"/>
          <w:lang w:val="hr-HR"/>
        </w:rPr>
      </w:pPr>
      <w:r w:rsidRPr="008C78FC">
        <w:rPr>
          <w:lang w:val="hr-HR"/>
        </w:rPr>
        <w:br w:type="page"/>
      </w:r>
    </w:p>
    <w:p w:rsidR="00D1091E" w:rsidRPr="008C78FC" w:rsidRDefault="00D1091E" w:rsidP="006F0432">
      <w:pPr>
        <w:pStyle w:val="Naslov1"/>
        <w:numPr>
          <w:ilvl w:val="0"/>
          <w:numId w:val="9"/>
        </w:numPr>
        <w:rPr>
          <w:rFonts w:ascii="Times New Roman" w:hAnsi="Times New Roman" w:cs="Times New Roman"/>
          <w:lang w:val="hr-HR"/>
        </w:rPr>
      </w:pPr>
      <w:bookmarkStart w:id="18" w:name="_Toc381547545"/>
      <w:r w:rsidRPr="008C78FC">
        <w:rPr>
          <w:rFonts w:ascii="Times New Roman" w:hAnsi="Times New Roman" w:cs="Times New Roman"/>
          <w:lang w:val="hr-HR"/>
        </w:rPr>
        <w:lastRenderedPageBreak/>
        <w:t>Literatura:</w:t>
      </w:r>
      <w:bookmarkEnd w:id="18"/>
    </w:p>
    <w:p w:rsidR="00D1091E" w:rsidRPr="008C78FC" w:rsidRDefault="00D1091E" w:rsidP="00D1091E">
      <w:pPr>
        <w:rPr>
          <w:lang w:val="hr-HR"/>
        </w:rPr>
      </w:pPr>
    </w:p>
    <w:p w:rsidR="00F73CCA" w:rsidRPr="008C78FC" w:rsidRDefault="00F73CCA" w:rsidP="00D1091E">
      <w:pPr>
        <w:rPr>
          <w:lang w:val="hr-HR"/>
        </w:rPr>
      </w:pPr>
      <w:r w:rsidRPr="008C78FC">
        <w:rPr>
          <w:lang w:val="hr-HR"/>
        </w:rPr>
        <w:t>Presude Suda prve instance/Općeg Suda:</w:t>
      </w:r>
    </w:p>
    <w:p w:rsidR="00F73CCA" w:rsidRPr="008C78FC" w:rsidRDefault="00F73CCA" w:rsidP="00F73CCA">
      <w:pPr>
        <w:autoSpaceDE w:val="0"/>
        <w:autoSpaceDN w:val="0"/>
        <w:adjustRightInd w:val="0"/>
        <w:spacing w:line="240" w:lineRule="auto"/>
        <w:jc w:val="left"/>
        <w:rPr>
          <w:sz w:val="20"/>
          <w:lang w:val="hr-HR"/>
        </w:rPr>
      </w:pPr>
    </w:p>
    <w:p w:rsidR="00F73CCA" w:rsidRPr="008C78FC" w:rsidRDefault="00F73CCA" w:rsidP="006304FD">
      <w:pPr>
        <w:pStyle w:val="Odlomakpopisa"/>
        <w:numPr>
          <w:ilvl w:val="0"/>
          <w:numId w:val="6"/>
        </w:numPr>
        <w:autoSpaceDE w:val="0"/>
        <w:autoSpaceDN w:val="0"/>
        <w:adjustRightInd w:val="0"/>
        <w:spacing w:line="240" w:lineRule="auto"/>
        <w:rPr>
          <w:rFonts w:eastAsia="BemboA"/>
          <w:i/>
          <w:iCs/>
          <w:szCs w:val="24"/>
          <w:lang w:val="hr-HR"/>
        </w:rPr>
      </w:pPr>
      <w:r w:rsidRPr="008C78FC">
        <w:rPr>
          <w:rFonts w:eastAsia="BemboA"/>
          <w:szCs w:val="24"/>
          <w:lang w:val="hr-HR"/>
        </w:rPr>
        <w:t xml:space="preserve">Povezani predmeti 556 i 58/64 </w:t>
      </w:r>
      <w:proofErr w:type="spellStart"/>
      <w:r w:rsidRPr="008C78FC">
        <w:rPr>
          <w:rFonts w:eastAsia="BemboA"/>
          <w:i/>
          <w:iCs/>
          <w:szCs w:val="24"/>
          <w:lang w:val="hr-HR"/>
        </w:rPr>
        <w:t>ÉtablissementsConstenSŕRLandGru</w:t>
      </w:r>
      <w:r w:rsidR="006304FD" w:rsidRPr="008C78FC">
        <w:rPr>
          <w:rFonts w:eastAsia="BemboA"/>
          <w:i/>
          <w:iCs/>
          <w:szCs w:val="24"/>
          <w:lang w:val="hr-HR"/>
        </w:rPr>
        <w:t>ndig</w:t>
      </w:r>
      <w:proofErr w:type="spellEnd"/>
      <w:r w:rsidR="006304FD" w:rsidRPr="008C78FC">
        <w:rPr>
          <w:rFonts w:eastAsia="BemboA"/>
          <w:i/>
          <w:iCs/>
          <w:szCs w:val="24"/>
          <w:lang w:val="hr-HR"/>
        </w:rPr>
        <w:t>-</w:t>
      </w:r>
      <w:proofErr w:type="spellStart"/>
      <w:r w:rsidR="006304FD" w:rsidRPr="008C78FC">
        <w:rPr>
          <w:rFonts w:eastAsia="BemboA"/>
          <w:i/>
          <w:iCs/>
          <w:szCs w:val="24"/>
          <w:lang w:val="hr-HR"/>
        </w:rPr>
        <w:t>Verkaufs</w:t>
      </w:r>
      <w:proofErr w:type="spellEnd"/>
      <w:r w:rsidR="006304FD" w:rsidRPr="008C78FC">
        <w:rPr>
          <w:rFonts w:eastAsia="BemboA"/>
          <w:i/>
          <w:iCs/>
          <w:szCs w:val="24"/>
          <w:lang w:val="hr-HR"/>
        </w:rPr>
        <w:t>-</w:t>
      </w:r>
      <w:proofErr w:type="spellStart"/>
      <w:r w:rsidR="006304FD" w:rsidRPr="008C78FC">
        <w:rPr>
          <w:rFonts w:eastAsia="BemboA"/>
          <w:i/>
          <w:iCs/>
          <w:szCs w:val="24"/>
          <w:lang w:val="hr-HR"/>
        </w:rPr>
        <w:t>GmbH</w:t>
      </w:r>
      <w:proofErr w:type="spellEnd"/>
      <w:r w:rsidR="006304FD" w:rsidRPr="008C78FC">
        <w:rPr>
          <w:rFonts w:eastAsia="BemboA"/>
          <w:i/>
          <w:iCs/>
          <w:szCs w:val="24"/>
          <w:lang w:val="hr-HR"/>
        </w:rPr>
        <w:t xml:space="preserve"> v. Komisija</w:t>
      </w:r>
    </w:p>
    <w:p w:rsidR="00F73CCA" w:rsidRPr="008C78FC" w:rsidRDefault="00F73CCA" w:rsidP="006304FD">
      <w:pPr>
        <w:pStyle w:val="Tekstfusnote"/>
        <w:numPr>
          <w:ilvl w:val="0"/>
          <w:numId w:val="6"/>
        </w:numPr>
        <w:rPr>
          <w:rFonts w:eastAsia="BemboA"/>
          <w:sz w:val="24"/>
          <w:szCs w:val="24"/>
          <w:lang w:val="hr-HR"/>
        </w:rPr>
      </w:pPr>
      <w:r w:rsidRPr="008C78FC">
        <w:rPr>
          <w:rFonts w:eastAsia="BemboA"/>
          <w:sz w:val="24"/>
          <w:szCs w:val="24"/>
          <w:lang w:val="hr-HR"/>
        </w:rPr>
        <w:t xml:space="preserve">[1966] </w:t>
      </w:r>
      <w:proofErr w:type="spellStart"/>
      <w:r w:rsidRPr="008C78FC">
        <w:rPr>
          <w:rFonts w:eastAsia="BemboA"/>
          <w:sz w:val="24"/>
          <w:szCs w:val="24"/>
          <w:lang w:val="hr-HR"/>
        </w:rPr>
        <w:t>ECR</w:t>
      </w:r>
      <w:proofErr w:type="spellEnd"/>
      <w:r w:rsidRPr="008C78FC">
        <w:rPr>
          <w:rFonts w:eastAsia="BemboA"/>
          <w:sz w:val="24"/>
          <w:szCs w:val="24"/>
          <w:lang w:val="hr-HR"/>
        </w:rPr>
        <w:t xml:space="preserve"> 299 </w:t>
      </w:r>
    </w:p>
    <w:p w:rsidR="006304FD" w:rsidRPr="008C78FC" w:rsidRDefault="006304FD" w:rsidP="006304FD">
      <w:pPr>
        <w:pStyle w:val="Tekstfusnote"/>
        <w:numPr>
          <w:ilvl w:val="0"/>
          <w:numId w:val="6"/>
        </w:numPr>
        <w:rPr>
          <w:sz w:val="24"/>
          <w:szCs w:val="24"/>
          <w:lang w:val="hr-HR"/>
        </w:rPr>
      </w:pPr>
      <w:r w:rsidRPr="008C78FC">
        <w:rPr>
          <w:color w:val="000000"/>
          <w:sz w:val="24"/>
          <w:szCs w:val="24"/>
          <w:lang w:val="hr-HR"/>
        </w:rPr>
        <w:t xml:space="preserve">56/65, </w:t>
      </w:r>
      <w:proofErr w:type="spellStart"/>
      <w:r w:rsidRPr="008C78FC">
        <w:rPr>
          <w:color w:val="000000"/>
          <w:sz w:val="24"/>
          <w:szCs w:val="24"/>
          <w:lang w:val="hr-HR"/>
        </w:rPr>
        <w:t>SociétéTechniqueMinière</w:t>
      </w:r>
      <w:proofErr w:type="spellEnd"/>
      <w:r w:rsidRPr="008C78FC">
        <w:rPr>
          <w:color w:val="000000"/>
          <w:sz w:val="24"/>
          <w:szCs w:val="24"/>
          <w:lang w:val="hr-HR"/>
        </w:rPr>
        <w:t xml:space="preserve">, [1966] </w:t>
      </w:r>
      <w:proofErr w:type="spellStart"/>
      <w:r w:rsidRPr="008C78FC">
        <w:rPr>
          <w:color w:val="000000"/>
          <w:sz w:val="24"/>
          <w:szCs w:val="24"/>
          <w:lang w:val="hr-HR"/>
        </w:rPr>
        <w:t>ECR</w:t>
      </w:r>
      <w:proofErr w:type="spellEnd"/>
      <w:r w:rsidRPr="008C78FC">
        <w:rPr>
          <w:color w:val="000000"/>
          <w:sz w:val="24"/>
          <w:szCs w:val="24"/>
          <w:lang w:val="hr-HR"/>
        </w:rPr>
        <w:t xml:space="preserve"> 337, Predmet C-7/95 P, </w:t>
      </w:r>
      <w:proofErr w:type="spellStart"/>
      <w:r w:rsidRPr="008C78FC">
        <w:rPr>
          <w:color w:val="000000"/>
          <w:sz w:val="24"/>
          <w:szCs w:val="24"/>
          <w:lang w:val="hr-HR"/>
        </w:rPr>
        <w:t>John</w:t>
      </w:r>
      <w:proofErr w:type="spellEnd"/>
      <w:r w:rsidRPr="008C78FC">
        <w:rPr>
          <w:color w:val="000000"/>
          <w:sz w:val="24"/>
          <w:szCs w:val="24"/>
          <w:lang w:val="hr-HR"/>
        </w:rPr>
        <w:t xml:space="preserve"> Deere, (1998] </w:t>
      </w:r>
      <w:proofErr w:type="spellStart"/>
      <w:r w:rsidRPr="008C78FC">
        <w:rPr>
          <w:color w:val="000000"/>
          <w:sz w:val="24"/>
          <w:szCs w:val="24"/>
          <w:lang w:val="hr-HR"/>
        </w:rPr>
        <w:t>ECR</w:t>
      </w:r>
      <w:proofErr w:type="spellEnd"/>
      <w:r w:rsidRPr="008C78FC">
        <w:rPr>
          <w:color w:val="000000"/>
          <w:sz w:val="24"/>
          <w:szCs w:val="24"/>
          <w:lang w:val="hr-HR"/>
        </w:rPr>
        <w:t xml:space="preserve"> I-3111 </w:t>
      </w:r>
    </w:p>
    <w:p w:rsidR="00F73CCA" w:rsidRPr="008C78FC" w:rsidRDefault="00F73CCA" w:rsidP="006304FD">
      <w:pPr>
        <w:pStyle w:val="Odlomakpopisa"/>
        <w:numPr>
          <w:ilvl w:val="0"/>
          <w:numId w:val="6"/>
        </w:numPr>
        <w:autoSpaceDE w:val="0"/>
        <w:autoSpaceDN w:val="0"/>
        <w:adjustRightInd w:val="0"/>
        <w:spacing w:line="240" w:lineRule="auto"/>
        <w:rPr>
          <w:szCs w:val="24"/>
          <w:lang w:val="hr-HR"/>
        </w:rPr>
      </w:pPr>
      <w:r w:rsidRPr="008C78FC">
        <w:rPr>
          <w:szCs w:val="24"/>
          <w:lang w:val="hr-HR"/>
        </w:rPr>
        <w:t>Predmet C</w:t>
      </w:r>
      <w:r w:rsidRPr="008C78FC">
        <w:rPr>
          <w:rFonts w:ascii="MS Mincho" w:eastAsia="MS Mincho" w:hAnsi="MS Mincho" w:cs="MS Mincho"/>
          <w:szCs w:val="24"/>
          <w:lang w:val="hr-HR"/>
        </w:rPr>
        <w:t>‑</w:t>
      </w:r>
      <w:r w:rsidRPr="008C78FC">
        <w:rPr>
          <w:szCs w:val="24"/>
          <w:lang w:val="hr-HR"/>
        </w:rPr>
        <w:t>403/08  C</w:t>
      </w:r>
      <w:r w:rsidRPr="008C78FC">
        <w:rPr>
          <w:rFonts w:ascii="MS Mincho" w:eastAsia="MS Mincho" w:hAnsi="MS Mincho" w:cs="MS Mincho"/>
          <w:szCs w:val="24"/>
          <w:lang w:val="hr-HR"/>
        </w:rPr>
        <w:t>‑</w:t>
      </w:r>
      <w:r w:rsidRPr="008C78FC">
        <w:rPr>
          <w:szCs w:val="24"/>
          <w:lang w:val="hr-HR"/>
        </w:rPr>
        <w:t xml:space="preserve">429/08 </w:t>
      </w:r>
      <w:proofErr w:type="spellStart"/>
      <w:r w:rsidRPr="008C78FC">
        <w:rPr>
          <w:i/>
          <w:iCs/>
          <w:szCs w:val="24"/>
          <w:lang w:val="hr-HR"/>
        </w:rPr>
        <w:t>FootballAssociationPremierLeagueLtdandOthers</w:t>
      </w:r>
      <w:proofErr w:type="spellEnd"/>
      <w:r w:rsidRPr="008C78FC">
        <w:rPr>
          <w:i/>
          <w:iCs/>
          <w:szCs w:val="24"/>
          <w:lang w:val="hr-HR"/>
        </w:rPr>
        <w:t xml:space="preserve"> v </w:t>
      </w:r>
      <w:proofErr w:type="spellStart"/>
      <w:r w:rsidRPr="008C78FC">
        <w:rPr>
          <w:i/>
          <w:iCs/>
          <w:szCs w:val="24"/>
          <w:lang w:val="hr-HR"/>
        </w:rPr>
        <w:t>QCLeisureandOthersandKaren</w:t>
      </w:r>
      <w:proofErr w:type="spellEnd"/>
      <w:r w:rsidRPr="008C78FC">
        <w:rPr>
          <w:i/>
          <w:iCs/>
          <w:szCs w:val="24"/>
          <w:lang w:val="hr-HR"/>
        </w:rPr>
        <w:t xml:space="preserve"> Murphy v </w:t>
      </w:r>
      <w:proofErr w:type="spellStart"/>
      <w:r w:rsidRPr="008C78FC">
        <w:rPr>
          <w:i/>
          <w:iCs/>
          <w:szCs w:val="24"/>
          <w:lang w:val="hr-HR"/>
        </w:rPr>
        <w:t>MediaProtectionServicesLtd</w:t>
      </w:r>
      <w:proofErr w:type="spellEnd"/>
      <w:r w:rsidRPr="008C78FC">
        <w:rPr>
          <w:szCs w:val="24"/>
          <w:lang w:val="hr-HR"/>
        </w:rPr>
        <w:t xml:space="preserve">, </w:t>
      </w:r>
    </w:p>
    <w:p w:rsidR="00F73CCA" w:rsidRPr="008C78FC" w:rsidRDefault="00F73CCA" w:rsidP="006304FD">
      <w:pPr>
        <w:pStyle w:val="Odlomakpopisa"/>
        <w:numPr>
          <w:ilvl w:val="0"/>
          <w:numId w:val="6"/>
        </w:numPr>
        <w:autoSpaceDE w:val="0"/>
        <w:autoSpaceDN w:val="0"/>
        <w:adjustRightInd w:val="0"/>
        <w:spacing w:line="240" w:lineRule="auto"/>
        <w:rPr>
          <w:szCs w:val="24"/>
          <w:lang w:val="hr-HR"/>
        </w:rPr>
      </w:pPr>
      <w:r w:rsidRPr="008C78FC">
        <w:rPr>
          <w:szCs w:val="24"/>
          <w:lang w:val="hr-HR"/>
        </w:rPr>
        <w:t>Predmet C</w:t>
      </w:r>
      <w:r w:rsidRPr="008C78FC">
        <w:rPr>
          <w:rFonts w:ascii="MS Mincho" w:eastAsia="MS Mincho" w:hAnsi="MS Mincho" w:cs="MS Mincho"/>
          <w:szCs w:val="24"/>
          <w:lang w:val="hr-HR"/>
        </w:rPr>
        <w:t>‑</w:t>
      </w:r>
      <w:r w:rsidRPr="008C78FC">
        <w:rPr>
          <w:szCs w:val="24"/>
          <w:lang w:val="hr-HR"/>
        </w:rPr>
        <w:t xml:space="preserve">8/08 </w:t>
      </w:r>
      <w:r w:rsidR="006304FD" w:rsidRPr="008C78FC">
        <w:rPr>
          <w:i/>
          <w:iCs/>
          <w:szCs w:val="24"/>
          <w:lang w:val="hr-HR"/>
        </w:rPr>
        <w:t xml:space="preserve">T-Mobile </w:t>
      </w:r>
      <w:proofErr w:type="spellStart"/>
      <w:r w:rsidR="006304FD" w:rsidRPr="008C78FC">
        <w:rPr>
          <w:i/>
          <w:iCs/>
          <w:szCs w:val="24"/>
          <w:lang w:val="hr-HR"/>
        </w:rPr>
        <w:t>Netherlands</w:t>
      </w:r>
      <w:proofErr w:type="spellEnd"/>
      <w:r w:rsidR="006304FD" w:rsidRPr="008C78FC">
        <w:rPr>
          <w:i/>
          <w:iCs/>
          <w:szCs w:val="24"/>
          <w:lang w:val="hr-HR"/>
        </w:rPr>
        <w:t xml:space="preserve"> i drugi</w:t>
      </w:r>
      <w:r w:rsidRPr="008C78FC">
        <w:rPr>
          <w:szCs w:val="24"/>
          <w:lang w:val="hr-HR"/>
        </w:rPr>
        <w:t xml:space="preserve">[2009] </w:t>
      </w:r>
      <w:proofErr w:type="spellStart"/>
      <w:r w:rsidRPr="008C78FC">
        <w:rPr>
          <w:szCs w:val="24"/>
          <w:lang w:val="hr-HR"/>
        </w:rPr>
        <w:t>ECR</w:t>
      </w:r>
      <w:proofErr w:type="spellEnd"/>
      <w:r w:rsidRPr="008C78FC">
        <w:rPr>
          <w:szCs w:val="24"/>
          <w:lang w:val="hr-HR"/>
        </w:rPr>
        <w:t xml:space="preserve"> I</w:t>
      </w:r>
      <w:r w:rsidRPr="008C78FC">
        <w:rPr>
          <w:rFonts w:ascii="MS Mincho" w:eastAsia="MS Mincho" w:hAnsi="MS Mincho" w:cs="MS Mincho"/>
          <w:szCs w:val="24"/>
          <w:lang w:val="hr-HR"/>
        </w:rPr>
        <w:t>‑</w:t>
      </w:r>
      <w:r w:rsidRPr="008C78FC">
        <w:rPr>
          <w:szCs w:val="24"/>
          <w:lang w:val="hr-HR"/>
        </w:rPr>
        <w:t>4529, 28</w:t>
      </w:r>
    </w:p>
    <w:p w:rsidR="00F73CCA" w:rsidRPr="008C78FC" w:rsidRDefault="00F73CCA" w:rsidP="006304FD">
      <w:pPr>
        <w:pStyle w:val="Odlomakpopisa"/>
        <w:numPr>
          <w:ilvl w:val="0"/>
          <w:numId w:val="6"/>
        </w:numPr>
        <w:autoSpaceDE w:val="0"/>
        <w:autoSpaceDN w:val="0"/>
        <w:adjustRightInd w:val="0"/>
        <w:spacing w:line="240" w:lineRule="auto"/>
        <w:rPr>
          <w:i/>
          <w:iCs/>
          <w:szCs w:val="24"/>
          <w:lang w:val="hr-HR"/>
        </w:rPr>
      </w:pPr>
      <w:r w:rsidRPr="008C78FC">
        <w:rPr>
          <w:szCs w:val="24"/>
          <w:lang w:val="hr-HR"/>
        </w:rPr>
        <w:t xml:space="preserve">Spojeni </w:t>
      </w:r>
      <w:proofErr w:type="spellStart"/>
      <w:r w:rsidRPr="008C78FC">
        <w:rPr>
          <w:szCs w:val="24"/>
          <w:lang w:val="hr-HR"/>
        </w:rPr>
        <w:t>predmetiC</w:t>
      </w:r>
      <w:proofErr w:type="spellEnd"/>
      <w:r w:rsidRPr="008C78FC">
        <w:rPr>
          <w:rFonts w:ascii="MS Mincho" w:eastAsia="MS Mincho" w:hAnsi="MS Mincho" w:cs="MS Mincho"/>
          <w:szCs w:val="24"/>
          <w:lang w:val="hr-HR"/>
        </w:rPr>
        <w:t>‑</w:t>
      </w:r>
      <w:r w:rsidRPr="008C78FC">
        <w:rPr>
          <w:szCs w:val="24"/>
          <w:lang w:val="hr-HR"/>
        </w:rPr>
        <w:t>501/06 P, C</w:t>
      </w:r>
      <w:r w:rsidRPr="008C78FC">
        <w:rPr>
          <w:rFonts w:ascii="MS Mincho" w:eastAsia="MS Mincho" w:hAnsi="MS Mincho" w:cs="MS Mincho"/>
          <w:szCs w:val="24"/>
          <w:lang w:val="hr-HR"/>
        </w:rPr>
        <w:t>‑</w:t>
      </w:r>
      <w:r w:rsidRPr="008C78FC">
        <w:rPr>
          <w:szCs w:val="24"/>
          <w:lang w:val="hr-HR"/>
        </w:rPr>
        <w:t>513/06 P, C</w:t>
      </w:r>
      <w:r w:rsidRPr="008C78FC">
        <w:rPr>
          <w:rFonts w:ascii="MS Mincho" w:eastAsia="MS Mincho" w:hAnsi="MS Mincho" w:cs="MS Mincho"/>
          <w:szCs w:val="24"/>
          <w:lang w:val="hr-HR"/>
        </w:rPr>
        <w:t>‑</w:t>
      </w:r>
      <w:r w:rsidRPr="008C78FC">
        <w:rPr>
          <w:szCs w:val="24"/>
          <w:lang w:val="hr-HR"/>
        </w:rPr>
        <w:t xml:space="preserve">515/06 P </w:t>
      </w:r>
      <w:proofErr w:type="spellStart"/>
      <w:r w:rsidRPr="008C78FC">
        <w:rPr>
          <w:szCs w:val="24"/>
          <w:lang w:val="hr-HR"/>
        </w:rPr>
        <w:t>and</w:t>
      </w:r>
      <w:proofErr w:type="spellEnd"/>
      <w:r w:rsidRPr="008C78FC">
        <w:rPr>
          <w:szCs w:val="24"/>
          <w:lang w:val="hr-HR"/>
        </w:rPr>
        <w:t xml:space="preserve"> C</w:t>
      </w:r>
      <w:r w:rsidRPr="008C78FC">
        <w:rPr>
          <w:rFonts w:ascii="MS Mincho" w:eastAsia="MS Mincho" w:hAnsi="MS Mincho" w:cs="MS Mincho"/>
          <w:szCs w:val="24"/>
          <w:lang w:val="hr-HR"/>
        </w:rPr>
        <w:t>‑</w:t>
      </w:r>
      <w:r w:rsidRPr="008C78FC">
        <w:rPr>
          <w:szCs w:val="24"/>
          <w:lang w:val="hr-HR"/>
        </w:rPr>
        <w:t xml:space="preserve">519/06 P </w:t>
      </w:r>
      <w:r w:rsidRPr="008C78FC">
        <w:rPr>
          <w:i/>
          <w:iCs/>
          <w:szCs w:val="24"/>
          <w:lang w:val="hr-HR"/>
        </w:rPr>
        <w:t xml:space="preserve">GlaxoSmithKline </w:t>
      </w:r>
      <w:proofErr w:type="spellStart"/>
      <w:r w:rsidRPr="008C78FC">
        <w:rPr>
          <w:i/>
          <w:iCs/>
          <w:szCs w:val="24"/>
          <w:lang w:val="hr-HR"/>
        </w:rPr>
        <w:t>ServicesandOthers</w:t>
      </w:r>
      <w:proofErr w:type="spellEnd"/>
      <w:r w:rsidRPr="008C78FC">
        <w:rPr>
          <w:i/>
          <w:iCs/>
          <w:szCs w:val="24"/>
          <w:lang w:val="hr-HR"/>
        </w:rPr>
        <w:t xml:space="preserve"> v Komisija </w:t>
      </w:r>
      <w:r w:rsidRPr="008C78FC">
        <w:rPr>
          <w:szCs w:val="24"/>
          <w:lang w:val="hr-HR"/>
        </w:rPr>
        <w:t xml:space="preserve">[2009] </w:t>
      </w:r>
      <w:proofErr w:type="spellStart"/>
      <w:r w:rsidRPr="008C78FC">
        <w:rPr>
          <w:szCs w:val="24"/>
          <w:lang w:val="hr-HR"/>
        </w:rPr>
        <w:t>ECR</w:t>
      </w:r>
      <w:proofErr w:type="spellEnd"/>
      <w:r w:rsidRPr="008C78FC">
        <w:rPr>
          <w:szCs w:val="24"/>
          <w:lang w:val="hr-HR"/>
        </w:rPr>
        <w:t xml:space="preserve"> I</w:t>
      </w:r>
      <w:r w:rsidRPr="008C78FC">
        <w:rPr>
          <w:rFonts w:ascii="MS Mincho" w:eastAsia="MS Mincho" w:hAnsi="MS Mincho" w:cs="MS Mincho"/>
          <w:szCs w:val="24"/>
          <w:lang w:val="hr-HR"/>
        </w:rPr>
        <w:t>‑</w:t>
      </w:r>
      <w:r w:rsidRPr="008C78FC">
        <w:rPr>
          <w:szCs w:val="24"/>
          <w:lang w:val="hr-HR"/>
        </w:rPr>
        <w:t>9291 (</w:t>
      </w:r>
      <w:proofErr w:type="spellStart"/>
      <w:r w:rsidRPr="008C78FC">
        <w:rPr>
          <w:i/>
          <w:iCs/>
          <w:szCs w:val="24"/>
          <w:lang w:val="hr-HR"/>
        </w:rPr>
        <w:t>GSK</w:t>
      </w:r>
      <w:proofErr w:type="spellEnd"/>
      <w:r w:rsidRPr="008C78FC">
        <w:rPr>
          <w:i/>
          <w:iCs/>
          <w:szCs w:val="24"/>
          <w:lang w:val="hr-HR"/>
        </w:rPr>
        <w:t xml:space="preserve"> (</w:t>
      </w:r>
      <w:proofErr w:type="spellStart"/>
      <w:r w:rsidRPr="008C78FC">
        <w:rPr>
          <w:i/>
          <w:iCs/>
          <w:szCs w:val="24"/>
          <w:lang w:val="hr-HR"/>
        </w:rPr>
        <w:t>CJ</w:t>
      </w:r>
      <w:proofErr w:type="spellEnd"/>
      <w:r w:rsidRPr="008C78FC">
        <w:rPr>
          <w:i/>
          <w:iCs/>
          <w:szCs w:val="24"/>
          <w:lang w:val="hr-HR"/>
        </w:rPr>
        <w:t>)</w:t>
      </w:r>
      <w:r w:rsidRPr="008C78FC">
        <w:rPr>
          <w:szCs w:val="24"/>
          <w:lang w:val="hr-HR"/>
        </w:rPr>
        <w:t>),</w:t>
      </w:r>
    </w:p>
    <w:p w:rsidR="00F73CCA" w:rsidRPr="008C78FC" w:rsidRDefault="00F73CCA" w:rsidP="00F73CCA">
      <w:pPr>
        <w:autoSpaceDE w:val="0"/>
        <w:autoSpaceDN w:val="0"/>
        <w:adjustRightInd w:val="0"/>
        <w:spacing w:line="240" w:lineRule="auto"/>
        <w:jc w:val="left"/>
        <w:rPr>
          <w:lang w:val="hr-HR"/>
        </w:rPr>
      </w:pPr>
    </w:p>
    <w:p w:rsidR="00F73CCA" w:rsidRPr="008C78FC" w:rsidRDefault="00F73CCA" w:rsidP="00F73CCA">
      <w:pPr>
        <w:spacing w:line="480" w:lineRule="auto"/>
        <w:rPr>
          <w:b/>
          <w:szCs w:val="24"/>
          <w:lang w:val="hr-HR"/>
        </w:rPr>
      </w:pPr>
      <w:r w:rsidRPr="008C78FC">
        <w:rPr>
          <w:b/>
          <w:szCs w:val="24"/>
          <w:lang w:val="hr-HR"/>
        </w:rPr>
        <w:t>Knjige:</w:t>
      </w:r>
    </w:p>
    <w:p w:rsidR="00F73CCA" w:rsidRPr="008C78FC" w:rsidRDefault="00F73CCA" w:rsidP="00F73CCA">
      <w:pPr>
        <w:pStyle w:val="Odlomakpopisa"/>
        <w:numPr>
          <w:ilvl w:val="0"/>
          <w:numId w:val="5"/>
        </w:numPr>
        <w:spacing w:after="200" w:line="480" w:lineRule="auto"/>
        <w:rPr>
          <w:szCs w:val="24"/>
          <w:lang w:val="hr-HR"/>
        </w:rPr>
      </w:pPr>
      <w:proofErr w:type="spellStart"/>
      <w:r w:rsidRPr="008C78FC">
        <w:rPr>
          <w:szCs w:val="24"/>
          <w:lang w:val="hr-HR"/>
        </w:rPr>
        <w:t>JohnatanFaul</w:t>
      </w:r>
      <w:proofErr w:type="spellEnd"/>
      <w:r w:rsidRPr="008C78FC">
        <w:rPr>
          <w:i/>
          <w:szCs w:val="24"/>
          <w:lang w:val="hr-HR"/>
        </w:rPr>
        <w:t xml:space="preserve"> </w:t>
      </w:r>
      <w:proofErr w:type="spellStart"/>
      <w:r w:rsidRPr="008C78FC">
        <w:rPr>
          <w:i/>
          <w:szCs w:val="24"/>
          <w:lang w:val="hr-HR"/>
        </w:rPr>
        <w:t>and</w:t>
      </w:r>
      <w:proofErr w:type="spellEnd"/>
      <w:r w:rsidRPr="008C78FC">
        <w:rPr>
          <w:i/>
          <w:szCs w:val="24"/>
          <w:lang w:val="hr-HR"/>
        </w:rPr>
        <w:t xml:space="preserve"> </w:t>
      </w:r>
      <w:r w:rsidRPr="008C78FC">
        <w:rPr>
          <w:szCs w:val="24"/>
          <w:lang w:val="hr-HR"/>
        </w:rPr>
        <w:t xml:space="preserve">Ali </w:t>
      </w:r>
      <w:proofErr w:type="spellStart"/>
      <w:r w:rsidRPr="008C78FC">
        <w:rPr>
          <w:szCs w:val="24"/>
          <w:lang w:val="hr-HR"/>
        </w:rPr>
        <w:t>Nikpay</w:t>
      </w:r>
      <w:proofErr w:type="spellEnd"/>
      <w:r w:rsidRPr="008C78FC">
        <w:rPr>
          <w:szCs w:val="24"/>
          <w:lang w:val="hr-HR"/>
        </w:rPr>
        <w:t>,</w:t>
      </w:r>
      <w:r w:rsidRPr="008C78FC">
        <w:rPr>
          <w:i/>
          <w:szCs w:val="24"/>
          <w:lang w:val="hr-HR"/>
        </w:rPr>
        <w:t xml:space="preserve"> </w:t>
      </w:r>
      <w:proofErr w:type="spellStart"/>
      <w:r w:rsidRPr="008C78FC">
        <w:rPr>
          <w:i/>
          <w:szCs w:val="24"/>
          <w:lang w:val="hr-HR"/>
        </w:rPr>
        <w:t>The</w:t>
      </w:r>
      <w:proofErr w:type="spellEnd"/>
      <w:r w:rsidRPr="008C78FC">
        <w:rPr>
          <w:i/>
          <w:szCs w:val="24"/>
          <w:lang w:val="hr-HR"/>
        </w:rPr>
        <w:t xml:space="preserve"> EC </w:t>
      </w:r>
      <w:proofErr w:type="spellStart"/>
      <w:r w:rsidRPr="008C78FC">
        <w:rPr>
          <w:i/>
          <w:szCs w:val="24"/>
          <w:lang w:val="hr-HR"/>
        </w:rPr>
        <w:t>Law</w:t>
      </w:r>
      <w:proofErr w:type="spellEnd"/>
      <w:r w:rsidRPr="008C78FC">
        <w:rPr>
          <w:i/>
          <w:szCs w:val="24"/>
          <w:lang w:val="hr-HR"/>
        </w:rPr>
        <w:t xml:space="preserve"> </w:t>
      </w:r>
      <w:proofErr w:type="spellStart"/>
      <w:r w:rsidRPr="008C78FC">
        <w:rPr>
          <w:i/>
          <w:szCs w:val="24"/>
          <w:lang w:val="hr-HR"/>
        </w:rPr>
        <w:t>of</w:t>
      </w:r>
      <w:proofErr w:type="spellEnd"/>
      <w:r w:rsidRPr="008C78FC">
        <w:rPr>
          <w:i/>
          <w:szCs w:val="24"/>
          <w:lang w:val="hr-HR"/>
        </w:rPr>
        <w:t xml:space="preserve"> </w:t>
      </w:r>
      <w:proofErr w:type="spellStart"/>
      <w:r w:rsidRPr="008C78FC">
        <w:rPr>
          <w:i/>
          <w:szCs w:val="24"/>
          <w:lang w:val="hr-HR"/>
        </w:rPr>
        <w:t>Competition</w:t>
      </w:r>
      <w:proofErr w:type="spellEnd"/>
      <w:r w:rsidRPr="008C78FC">
        <w:rPr>
          <w:szCs w:val="24"/>
          <w:lang w:val="hr-HR"/>
        </w:rPr>
        <w:t xml:space="preserve"> (</w:t>
      </w:r>
      <w:proofErr w:type="spellStart"/>
      <w:r w:rsidRPr="008C78FC">
        <w:rPr>
          <w:szCs w:val="24"/>
          <w:lang w:val="hr-HR"/>
        </w:rPr>
        <w:t>Oxford</w:t>
      </w:r>
      <w:proofErr w:type="spellEnd"/>
      <w:r w:rsidRPr="008C78FC">
        <w:rPr>
          <w:szCs w:val="24"/>
          <w:lang w:val="hr-HR"/>
        </w:rPr>
        <w:t xml:space="preserve"> </w:t>
      </w:r>
      <w:proofErr w:type="spellStart"/>
      <w:r w:rsidRPr="008C78FC">
        <w:rPr>
          <w:szCs w:val="24"/>
          <w:lang w:val="hr-HR"/>
        </w:rPr>
        <w:t>University</w:t>
      </w:r>
      <w:proofErr w:type="spellEnd"/>
      <w:r w:rsidRPr="008C78FC">
        <w:rPr>
          <w:szCs w:val="24"/>
          <w:lang w:val="hr-HR"/>
        </w:rPr>
        <w:t xml:space="preserve"> </w:t>
      </w:r>
      <w:proofErr w:type="spellStart"/>
      <w:r w:rsidRPr="008C78FC">
        <w:rPr>
          <w:szCs w:val="24"/>
          <w:lang w:val="hr-HR"/>
        </w:rPr>
        <w:t>Press</w:t>
      </w:r>
      <w:proofErr w:type="spellEnd"/>
      <w:r w:rsidRPr="008C78FC">
        <w:rPr>
          <w:szCs w:val="24"/>
          <w:lang w:val="hr-HR"/>
        </w:rPr>
        <w:t>, 2007)</w:t>
      </w:r>
    </w:p>
    <w:p w:rsidR="00F73CCA" w:rsidRPr="008C78FC" w:rsidRDefault="00F73CCA" w:rsidP="00F73CCA">
      <w:pPr>
        <w:pStyle w:val="Odlomakpopisa"/>
        <w:numPr>
          <w:ilvl w:val="0"/>
          <w:numId w:val="5"/>
        </w:numPr>
        <w:spacing w:after="200" w:line="480" w:lineRule="auto"/>
        <w:rPr>
          <w:szCs w:val="24"/>
          <w:lang w:val="hr-HR"/>
        </w:rPr>
      </w:pPr>
      <w:proofErr w:type="spellStart"/>
      <w:r w:rsidRPr="008C78FC">
        <w:rPr>
          <w:szCs w:val="24"/>
          <w:lang w:val="hr-HR"/>
        </w:rPr>
        <w:t>Damien</w:t>
      </w:r>
      <w:proofErr w:type="spellEnd"/>
      <w:r w:rsidRPr="008C78FC">
        <w:rPr>
          <w:szCs w:val="24"/>
          <w:lang w:val="hr-HR"/>
        </w:rPr>
        <w:t xml:space="preserve"> </w:t>
      </w:r>
      <w:proofErr w:type="spellStart"/>
      <w:r w:rsidRPr="008C78FC">
        <w:rPr>
          <w:szCs w:val="24"/>
          <w:lang w:val="hr-HR"/>
        </w:rPr>
        <w:t>Geradin</w:t>
      </w:r>
      <w:proofErr w:type="spellEnd"/>
      <w:r w:rsidRPr="008C78FC">
        <w:rPr>
          <w:szCs w:val="24"/>
          <w:lang w:val="hr-HR"/>
        </w:rPr>
        <w:t xml:space="preserve">, </w:t>
      </w:r>
      <w:proofErr w:type="spellStart"/>
      <w:r w:rsidRPr="008C78FC">
        <w:rPr>
          <w:szCs w:val="24"/>
          <w:lang w:val="hr-HR"/>
        </w:rPr>
        <w:t>Anne</w:t>
      </w:r>
      <w:proofErr w:type="spellEnd"/>
      <w:r w:rsidRPr="008C78FC">
        <w:rPr>
          <w:szCs w:val="24"/>
          <w:lang w:val="hr-HR"/>
        </w:rPr>
        <w:t xml:space="preserve"> </w:t>
      </w:r>
      <w:proofErr w:type="spellStart"/>
      <w:r w:rsidRPr="008C78FC">
        <w:rPr>
          <w:szCs w:val="24"/>
          <w:lang w:val="hr-HR"/>
        </w:rPr>
        <w:t>Layne</w:t>
      </w:r>
      <w:proofErr w:type="spellEnd"/>
      <w:r w:rsidRPr="008C78FC">
        <w:rPr>
          <w:szCs w:val="24"/>
          <w:lang w:val="hr-HR"/>
        </w:rPr>
        <w:t>-</w:t>
      </w:r>
      <w:proofErr w:type="spellStart"/>
      <w:r w:rsidRPr="008C78FC">
        <w:rPr>
          <w:szCs w:val="24"/>
          <w:lang w:val="hr-HR"/>
        </w:rPr>
        <w:t>Farrar</w:t>
      </w:r>
      <w:proofErr w:type="spellEnd"/>
      <w:r w:rsidRPr="008C78FC">
        <w:rPr>
          <w:szCs w:val="24"/>
          <w:lang w:val="hr-HR"/>
        </w:rPr>
        <w:t xml:space="preserve"> </w:t>
      </w:r>
      <w:proofErr w:type="spellStart"/>
      <w:r w:rsidRPr="008C78FC">
        <w:rPr>
          <w:szCs w:val="24"/>
          <w:lang w:val="hr-HR"/>
        </w:rPr>
        <w:t>and</w:t>
      </w:r>
      <w:proofErr w:type="spellEnd"/>
      <w:r w:rsidRPr="008C78FC">
        <w:rPr>
          <w:szCs w:val="24"/>
          <w:lang w:val="hr-HR"/>
        </w:rPr>
        <w:t xml:space="preserve"> </w:t>
      </w:r>
      <w:proofErr w:type="spellStart"/>
      <w:r w:rsidRPr="008C78FC">
        <w:rPr>
          <w:szCs w:val="24"/>
          <w:lang w:val="hr-HR"/>
        </w:rPr>
        <w:t>Nicolas</w:t>
      </w:r>
      <w:proofErr w:type="spellEnd"/>
      <w:r w:rsidRPr="008C78FC">
        <w:rPr>
          <w:szCs w:val="24"/>
          <w:lang w:val="hr-HR"/>
        </w:rPr>
        <w:t xml:space="preserve"> Petit, </w:t>
      </w:r>
      <w:r w:rsidRPr="008C78FC">
        <w:rPr>
          <w:i/>
          <w:szCs w:val="24"/>
          <w:lang w:val="hr-HR"/>
        </w:rPr>
        <w:t xml:space="preserve">EU </w:t>
      </w:r>
      <w:proofErr w:type="spellStart"/>
      <w:r w:rsidRPr="008C78FC">
        <w:rPr>
          <w:i/>
          <w:szCs w:val="24"/>
          <w:lang w:val="hr-HR"/>
        </w:rPr>
        <w:t>competition</w:t>
      </w:r>
      <w:proofErr w:type="spellEnd"/>
      <w:r w:rsidRPr="008C78FC">
        <w:rPr>
          <w:i/>
          <w:szCs w:val="24"/>
          <w:lang w:val="hr-HR"/>
        </w:rPr>
        <w:t xml:space="preserve"> </w:t>
      </w:r>
      <w:proofErr w:type="spellStart"/>
      <w:r w:rsidRPr="008C78FC">
        <w:rPr>
          <w:i/>
          <w:szCs w:val="24"/>
          <w:lang w:val="hr-HR"/>
        </w:rPr>
        <w:t>law</w:t>
      </w:r>
      <w:proofErr w:type="spellEnd"/>
      <w:r w:rsidRPr="008C78FC">
        <w:rPr>
          <w:i/>
          <w:szCs w:val="24"/>
          <w:lang w:val="hr-HR"/>
        </w:rPr>
        <w:t xml:space="preserve"> </w:t>
      </w:r>
      <w:proofErr w:type="spellStart"/>
      <w:r w:rsidRPr="008C78FC">
        <w:rPr>
          <w:i/>
          <w:szCs w:val="24"/>
          <w:lang w:val="hr-HR"/>
        </w:rPr>
        <w:t>and</w:t>
      </w:r>
      <w:proofErr w:type="spellEnd"/>
      <w:r w:rsidRPr="008C78FC">
        <w:rPr>
          <w:i/>
          <w:szCs w:val="24"/>
          <w:lang w:val="hr-HR"/>
        </w:rPr>
        <w:t xml:space="preserve"> </w:t>
      </w:r>
      <w:proofErr w:type="spellStart"/>
      <w:r w:rsidRPr="008C78FC">
        <w:rPr>
          <w:i/>
          <w:szCs w:val="24"/>
          <w:lang w:val="hr-HR"/>
        </w:rPr>
        <w:t>economics</w:t>
      </w:r>
      <w:proofErr w:type="spellEnd"/>
      <w:r w:rsidRPr="008C78FC">
        <w:rPr>
          <w:i/>
          <w:szCs w:val="24"/>
          <w:lang w:val="hr-HR"/>
        </w:rPr>
        <w:t xml:space="preserve"> </w:t>
      </w:r>
      <w:r w:rsidRPr="008C78FC">
        <w:rPr>
          <w:szCs w:val="24"/>
          <w:lang w:val="hr-HR"/>
        </w:rPr>
        <w:t>(</w:t>
      </w:r>
      <w:proofErr w:type="spellStart"/>
      <w:r w:rsidRPr="008C78FC">
        <w:rPr>
          <w:szCs w:val="24"/>
          <w:lang w:val="hr-HR"/>
        </w:rPr>
        <w:t>Oxford</w:t>
      </w:r>
      <w:proofErr w:type="spellEnd"/>
      <w:r w:rsidRPr="008C78FC">
        <w:rPr>
          <w:szCs w:val="24"/>
          <w:lang w:val="hr-HR"/>
        </w:rPr>
        <w:t xml:space="preserve"> </w:t>
      </w:r>
      <w:proofErr w:type="spellStart"/>
      <w:r w:rsidRPr="008C78FC">
        <w:rPr>
          <w:szCs w:val="24"/>
          <w:lang w:val="hr-HR"/>
        </w:rPr>
        <w:t>Uniersity</w:t>
      </w:r>
      <w:proofErr w:type="spellEnd"/>
      <w:r w:rsidRPr="008C78FC">
        <w:rPr>
          <w:szCs w:val="24"/>
          <w:lang w:val="hr-HR"/>
        </w:rPr>
        <w:t xml:space="preserve"> </w:t>
      </w:r>
      <w:proofErr w:type="spellStart"/>
      <w:r w:rsidRPr="008C78FC">
        <w:rPr>
          <w:szCs w:val="24"/>
          <w:lang w:val="hr-HR"/>
        </w:rPr>
        <w:t>Press</w:t>
      </w:r>
      <w:proofErr w:type="spellEnd"/>
      <w:r w:rsidRPr="008C78FC">
        <w:rPr>
          <w:szCs w:val="24"/>
          <w:lang w:val="hr-HR"/>
        </w:rPr>
        <w:t xml:space="preserve">, </w:t>
      </w:r>
      <w:proofErr w:type="spellStart"/>
      <w:r w:rsidRPr="008C78FC">
        <w:rPr>
          <w:szCs w:val="24"/>
          <w:lang w:val="hr-HR"/>
        </w:rPr>
        <w:t>Oxford</w:t>
      </w:r>
      <w:proofErr w:type="spellEnd"/>
      <w:r w:rsidRPr="008C78FC">
        <w:rPr>
          <w:szCs w:val="24"/>
          <w:lang w:val="hr-HR"/>
        </w:rPr>
        <w:t xml:space="preserve"> 2012)</w:t>
      </w:r>
    </w:p>
    <w:p w:rsidR="00F73CCA" w:rsidRPr="008C78FC" w:rsidRDefault="00F73CCA" w:rsidP="00F73CCA">
      <w:pPr>
        <w:pStyle w:val="Odlomakpopisa"/>
        <w:numPr>
          <w:ilvl w:val="0"/>
          <w:numId w:val="5"/>
        </w:numPr>
        <w:spacing w:after="200" w:line="480" w:lineRule="auto"/>
        <w:rPr>
          <w:szCs w:val="24"/>
          <w:lang w:val="hr-HR"/>
        </w:rPr>
      </w:pPr>
      <w:proofErr w:type="spellStart"/>
      <w:r w:rsidRPr="008C78FC">
        <w:rPr>
          <w:szCs w:val="24"/>
          <w:lang w:val="hr-HR"/>
        </w:rPr>
        <w:t>Alison</w:t>
      </w:r>
      <w:proofErr w:type="spellEnd"/>
      <w:r w:rsidRPr="008C78FC">
        <w:rPr>
          <w:szCs w:val="24"/>
          <w:lang w:val="hr-HR"/>
        </w:rPr>
        <w:t xml:space="preserve"> </w:t>
      </w:r>
      <w:proofErr w:type="spellStart"/>
      <w:r w:rsidRPr="008C78FC">
        <w:rPr>
          <w:szCs w:val="24"/>
          <w:lang w:val="hr-HR"/>
        </w:rPr>
        <w:t>Jones</w:t>
      </w:r>
      <w:proofErr w:type="spellEnd"/>
      <w:r w:rsidRPr="008C78FC">
        <w:rPr>
          <w:szCs w:val="24"/>
          <w:lang w:val="hr-HR"/>
        </w:rPr>
        <w:t xml:space="preserve"> </w:t>
      </w:r>
      <w:proofErr w:type="spellStart"/>
      <w:r w:rsidRPr="008C78FC">
        <w:rPr>
          <w:szCs w:val="24"/>
          <w:lang w:val="hr-HR"/>
        </w:rPr>
        <w:t>and</w:t>
      </w:r>
      <w:proofErr w:type="spellEnd"/>
      <w:r w:rsidRPr="008C78FC">
        <w:rPr>
          <w:szCs w:val="24"/>
          <w:lang w:val="hr-HR"/>
        </w:rPr>
        <w:t xml:space="preserve"> </w:t>
      </w:r>
      <w:proofErr w:type="spellStart"/>
      <w:r w:rsidRPr="008C78FC">
        <w:rPr>
          <w:szCs w:val="24"/>
          <w:lang w:val="hr-HR"/>
        </w:rPr>
        <w:t>Brenda</w:t>
      </w:r>
      <w:proofErr w:type="spellEnd"/>
      <w:r w:rsidRPr="008C78FC">
        <w:rPr>
          <w:szCs w:val="24"/>
          <w:lang w:val="hr-HR"/>
        </w:rPr>
        <w:t xml:space="preserve"> </w:t>
      </w:r>
      <w:proofErr w:type="spellStart"/>
      <w:r w:rsidRPr="008C78FC">
        <w:rPr>
          <w:szCs w:val="24"/>
          <w:lang w:val="hr-HR"/>
        </w:rPr>
        <w:t>Sufrin</w:t>
      </w:r>
      <w:proofErr w:type="spellEnd"/>
      <w:r w:rsidRPr="008C78FC">
        <w:rPr>
          <w:i/>
          <w:szCs w:val="24"/>
          <w:lang w:val="hr-HR"/>
        </w:rPr>
        <w:t xml:space="preserve">, EU </w:t>
      </w:r>
      <w:proofErr w:type="spellStart"/>
      <w:r w:rsidRPr="008C78FC">
        <w:rPr>
          <w:i/>
          <w:szCs w:val="24"/>
          <w:lang w:val="hr-HR"/>
        </w:rPr>
        <w:t>Competition</w:t>
      </w:r>
      <w:proofErr w:type="spellEnd"/>
      <w:r w:rsidRPr="008C78FC">
        <w:rPr>
          <w:i/>
          <w:szCs w:val="24"/>
          <w:lang w:val="hr-HR"/>
        </w:rPr>
        <w:t xml:space="preserve"> </w:t>
      </w:r>
      <w:proofErr w:type="spellStart"/>
      <w:r w:rsidRPr="008C78FC">
        <w:rPr>
          <w:i/>
          <w:szCs w:val="24"/>
          <w:lang w:val="hr-HR"/>
        </w:rPr>
        <w:t>Law</w:t>
      </w:r>
      <w:proofErr w:type="spellEnd"/>
      <w:r w:rsidRPr="008C78FC">
        <w:rPr>
          <w:i/>
          <w:szCs w:val="24"/>
          <w:lang w:val="hr-HR"/>
        </w:rPr>
        <w:t xml:space="preserve"> </w:t>
      </w:r>
      <w:r w:rsidRPr="008C78FC">
        <w:rPr>
          <w:szCs w:val="24"/>
          <w:lang w:val="hr-HR"/>
        </w:rPr>
        <w:t xml:space="preserve">(4ͭ ͪ </w:t>
      </w:r>
      <w:proofErr w:type="spellStart"/>
      <w:r w:rsidRPr="008C78FC">
        <w:rPr>
          <w:szCs w:val="24"/>
          <w:lang w:val="hr-HR"/>
        </w:rPr>
        <w:t>edition</w:t>
      </w:r>
      <w:proofErr w:type="spellEnd"/>
      <w:r w:rsidRPr="008C78FC">
        <w:rPr>
          <w:szCs w:val="24"/>
          <w:lang w:val="hr-HR"/>
        </w:rPr>
        <w:t xml:space="preserve">, </w:t>
      </w:r>
      <w:proofErr w:type="spellStart"/>
      <w:r w:rsidRPr="008C78FC">
        <w:rPr>
          <w:szCs w:val="24"/>
          <w:lang w:val="hr-HR"/>
        </w:rPr>
        <w:t>Oxford</w:t>
      </w:r>
      <w:proofErr w:type="spellEnd"/>
      <w:r w:rsidRPr="008C78FC">
        <w:rPr>
          <w:szCs w:val="24"/>
          <w:lang w:val="hr-HR"/>
        </w:rPr>
        <w:t xml:space="preserve"> </w:t>
      </w:r>
      <w:proofErr w:type="spellStart"/>
      <w:r w:rsidRPr="008C78FC">
        <w:rPr>
          <w:szCs w:val="24"/>
          <w:lang w:val="hr-HR"/>
        </w:rPr>
        <w:t>University</w:t>
      </w:r>
      <w:proofErr w:type="spellEnd"/>
      <w:r w:rsidRPr="008C78FC">
        <w:rPr>
          <w:szCs w:val="24"/>
          <w:lang w:val="hr-HR"/>
        </w:rPr>
        <w:t xml:space="preserve"> </w:t>
      </w:r>
      <w:proofErr w:type="spellStart"/>
      <w:r w:rsidRPr="008C78FC">
        <w:rPr>
          <w:szCs w:val="24"/>
          <w:lang w:val="hr-HR"/>
        </w:rPr>
        <w:t>Press</w:t>
      </w:r>
      <w:proofErr w:type="spellEnd"/>
      <w:r w:rsidRPr="008C78FC">
        <w:rPr>
          <w:szCs w:val="24"/>
          <w:lang w:val="hr-HR"/>
        </w:rPr>
        <w:t>, New York 2011)</w:t>
      </w:r>
    </w:p>
    <w:p w:rsidR="00F73CCA" w:rsidRPr="008C78FC" w:rsidRDefault="00F73CCA" w:rsidP="00F73CCA">
      <w:pPr>
        <w:pStyle w:val="Odlomakpopisa"/>
        <w:numPr>
          <w:ilvl w:val="0"/>
          <w:numId w:val="5"/>
        </w:numPr>
        <w:spacing w:after="200" w:line="480" w:lineRule="auto"/>
        <w:rPr>
          <w:rStyle w:val="addmd"/>
          <w:rFonts w:eastAsiaTheme="majorEastAsia"/>
          <w:szCs w:val="24"/>
          <w:lang w:val="hr-HR"/>
        </w:rPr>
      </w:pPr>
      <w:r w:rsidRPr="008C78FC">
        <w:rPr>
          <w:rStyle w:val="addmd"/>
          <w:rFonts w:eastAsiaTheme="majorEastAsia"/>
          <w:szCs w:val="24"/>
          <w:lang w:val="hr-HR"/>
        </w:rPr>
        <w:t xml:space="preserve">Frank </w:t>
      </w:r>
      <w:proofErr w:type="spellStart"/>
      <w:r w:rsidRPr="008C78FC">
        <w:rPr>
          <w:rStyle w:val="addmd"/>
          <w:rFonts w:eastAsiaTheme="majorEastAsia"/>
          <w:szCs w:val="24"/>
          <w:lang w:val="hr-HR"/>
        </w:rPr>
        <w:t>Wijckmans</w:t>
      </w:r>
      <w:proofErr w:type="spellEnd"/>
      <w:r w:rsidRPr="008C78FC">
        <w:rPr>
          <w:rStyle w:val="addmd"/>
          <w:rFonts w:eastAsiaTheme="majorEastAsia"/>
          <w:szCs w:val="24"/>
          <w:lang w:val="hr-HR"/>
        </w:rPr>
        <w:t xml:space="preserve"> </w:t>
      </w:r>
      <w:proofErr w:type="spellStart"/>
      <w:r w:rsidRPr="008C78FC">
        <w:rPr>
          <w:rStyle w:val="addmd"/>
          <w:rFonts w:eastAsiaTheme="majorEastAsia"/>
          <w:szCs w:val="24"/>
          <w:lang w:val="hr-HR"/>
        </w:rPr>
        <w:t>and</w:t>
      </w:r>
      <w:proofErr w:type="spellEnd"/>
      <w:r w:rsidRPr="008C78FC">
        <w:rPr>
          <w:rStyle w:val="addmd"/>
          <w:rFonts w:eastAsiaTheme="majorEastAsia"/>
          <w:szCs w:val="24"/>
          <w:lang w:val="hr-HR"/>
        </w:rPr>
        <w:t xml:space="preserve"> Filip </w:t>
      </w:r>
      <w:proofErr w:type="spellStart"/>
      <w:r w:rsidRPr="008C78FC">
        <w:rPr>
          <w:rStyle w:val="addmd"/>
          <w:rFonts w:eastAsiaTheme="majorEastAsia"/>
          <w:szCs w:val="24"/>
          <w:lang w:val="hr-HR"/>
        </w:rPr>
        <w:t>Tuytschaever</w:t>
      </w:r>
      <w:proofErr w:type="spellEnd"/>
      <w:r w:rsidRPr="008C78FC">
        <w:rPr>
          <w:rStyle w:val="addmd"/>
          <w:rFonts w:eastAsiaTheme="majorEastAsia"/>
          <w:szCs w:val="24"/>
          <w:lang w:val="hr-HR"/>
        </w:rPr>
        <w:t xml:space="preserve">, </w:t>
      </w:r>
      <w:proofErr w:type="spellStart"/>
      <w:r w:rsidRPr="008C78FC">
        <w:rPr>
          <w:rStyle w:val="addmd"/>
          <w:rFonts w:eastAsiaTheme="majorEastAsia"/>
          <w:i/>
          <w:szCs w:val="24"/>
          <w:lang w:val="hr-HR"/>
        </w:rPr>
        <w:t>Vertical</w:t>
      </w:r>
      <w:proofErr w:type="spellEnd"/>
      <w:r w:rsidRPr="008C78FC">
        <w:rPr>
          <w:rStyle w:val="addmd"/>
          <w:rFonts w:eastAsiaTheme="majorEastAsia"/>
          <w:i/>
          <w:szCs w:val="24"/>
          <w:lang w:val="hr-HR"/>
        </w:rPr>
        <w:t xml:space="preserve"> </w:t>
      </w:r>
      <w:proofErr w:type="spellStart"/>
      <w:r w:rsidRPr="008C78FC">
        <w:rPr>
          <w:rStyle w:val="addmd"/>
          <w:rFonts w:eastAsiaTheme="majorEastAsia"/>
          <w:i/>
          <w:szCs w:val="24"/>
          <w:lang w:val="hr-HR"/>
        </w:rPr>
        <w:t>agreements</w:t>
      </w:r>
      <w:proofErr w:type="spellEnd"/>
      <w:r w:rsidRPr="008C78FC">
        <w:rPr>
          <w:rStyle w:val="addmd"/>
          <w:rFonts w:eastAsiaTheme="majorEastAsia"/>
          <w:i/>
          <w:szCs w:val="24"/>
          <w:lang w:val="hr-HR"/>
        </w:rPr>
        <w:t xml:space="preserve"> </w:t>
      </w:r>
      <w:proofErr w:type="spellStart"/>
      <w:r w:rsidRPr="008C78FC">
        <w:rPr>
          <w:rStyle w:val="addmd"/>
          <w:rFonts w:eastAsiaTheme="majorEastAsia"/>
          <w:i/>
          <w:szCs w:val="24"/>
          <w:lang w:val="hr-HR"/>
        </w:rPr>
        <w:t>in</w:t>
      </w:r>
      <w:proofErr w:type="spellEnd"/>
      <w:r w:rsidRPr="008C78FC">
        <w:rPr>
          <w:rStyle w:val="addmd"/>
          <w:rFonts w:eastAsiaTheme="majorEastAsia"/>
          <w:i/>
          <w:szCs w:val="24"/>
          <w:lang w:val="hr-HR"/>
        </w:rPr>
        <w:t xml:space="preserve"> EU </w:t>
      </w:r>
      <w:proofErr w:type="spellStart"/>
      <w:r w:rsidRPr="008C78FC">
        <w:rPr>
          <w:rStyle w:val="addmd"/>
          <w:rFonts w:eastAsiaTheme="majorEastAsia"/>
          <w:i/>
          <w:szCs w:val="24"/>
          <w:lang w:val="hr-HR"/>
        </w:rPr>
        <w:t>competition</w:t>
      </w:r>
      <w:proofErr w:type="spellEnd"/>
      <w:r w:rsidRPr="008C78FC">
        <w:rPr>
          <w:rStyle w:val="addmd"/>
          <w:rFonts w:eastAsiaTheme="majorEastAsia"/>
          <w:i/>
          <w:szCs w:val="24"/>
          <w:lang w:val="hr-HR"/>
        </w:rPr>
        <w:t xml:space="preserve"> </w:t>
      </w:r>
      <w:proofErr w:type="spellStart"/>
      <w:r w:rsidRPr="008C78FC">
        <w:rPr>
          <w:rStyle w:val="addmd"/>
          <w:rFonts w:eastAsiaTheme="majorEastAsia"/>
          <w:i/>
          <w:szCs w:val="24"/>
          <w:lang w:val="hr-HR"/>
        </w:rPr>
        <w:t>law</w:t>
      </w:r>
      <w:proofErr w:type="spellEnd"/>
      <w:r w:rsidRPr="008C78FC">
        <w:rPr>
          <w:rStyle w:val="addmd"/>
          <w:rFonts w:eastAsiaTheme="majorEastAsia"/>
          <w:i/>
          <w:szCs w:val="24"/>
          <w:lang w:val="hr-HR"/>
        </w:rPr>
        <w:t xml:space="preserve"> </w:t>
      </w:r>
      <w:r w:rsidRPr="008C78FC">
        <w:rPr>
          <w:rStyle w:val="addmd"/>
          <w:rFonts w:eastAsiaTheme="majorEastAsia"/>
          <w:szCs w:val="24"/>
          <w:lang w:val="hr-HR"/>
        </w:rPr>
        <w:t xml:space="preserve">(2nd </w:t>
      </w:r>
      <w:proofErr w:type="spellStart"/>
      <w:r w:rsidRPr="008C78FC">
        <w:rPr>
          <w:rStyle w:val="addmd"/>
          <w:rFonts w:eastAsiaTheme="majorEastAsia"/>
          <w:szCs w:val="24"/>
          <w:lang w:val="hr-HR"/>
        </w:rPr>
        <w:t>edition</w:t>
      </w:r>
      <w:proofErr w:type="spellEnd"/>
      <w:r w:rsidRPr="008C78FC">
        <w:rPr>
          <w:rStyle w:val="addmd"/>
          <w:rFonts w:eastAsiaTheme="majorEastAsia"/>
          <w:szCs w:val="24"/>
          <w:lang w:val="hr-HR"/>
        </w:rPr>
        <w:t xml:space="preserve">, </w:t>
      </w:r>
      <w:proofErr w:type="spellStart"/>
      <w:r w:rsidRPr="008C78FC">
        <w:rPr>
          <w:rStyle w:val="addmd"/>
          <w:rFonts w:eastAsiaTheme="majorEastAsia"/>
          <w:szCs w:val="24"/>
          <w:lang w:val="hr-HR"/>
        </w:rPr>
        <w:t>Oxford</w:t>
      </w:r>
      <w:proofErr w:type="spellEnd"/>
      <w:r w:rsidRPr="008C78FC">
        <w:rPr>
          <w:rStyle w:val="addmd"/>
          <w:rFonts w:eastAsiaTheme="majorEastAsia"/>
          <w:szCs w:val="24"/>
          <w:lang w:val="hr-HR"/>
        </w:rPr>
        <w:t xml:space="preserve"> </w:t>
      </w:r>
      <w:proofErr w:type="spellStart"/>
      <w:r w:rsidRPr="008C78FC">
        <w:rPr>
          <w:rStyle w:val="addmd"/>
          <w:rFonts w:eastAsiaTheme="majorEastAsia"/>
          <w:szCs w:val="24"/>
          <w:lang w:val="hr-HR"/>
        </w:rPr>
        <w:t>University</w:t>
      </w:r>
      <w:proofErr w:type="spellEnd"/>
      <w:r w:rsidRPr="008C78FC">
        <w:rPr>
          <w:rStyle w:val="addmd"/>
          <w:rFonts w:eastAsiaTheme="majorEastAsia"/>
          <w:szCs w:val="24"/>
          <w:lang w:val="hr-HR"/>
        </w:rPr>
        <w:t xml:space="preserve"> </w:t>
      </w:r>
      <w:proofErr w:type="spellStart"/>
      <w:r w:rsidRPr="008C78FC">
        <w:rPr>
          <w:rStyle w:val="addmd"/>
          <w:rFonts w:eastAsiaTheme="majorEastAsia"/>
          <w:szCs w:val="24"/>
          <w:lang w:val="hr-HR"/>
        </w:rPr>
        <w:t>Press</w:t>
      </w:r>
      <w:proofErr w:type="spellEnd"/>
      <w:r w:rsidRPr="008C78FC">
        <w:rPr>
          <w:rStyle w:val="addmd"/>
          <w:rFonts w:eastAsiaTheme="majorEastAsia"/>
          <w:szCs w:val="24"/>
          <w:lang w:val="hr-HR"/>
        </w:rPr>
        <w:t>, New York, 2011)</w:t>
      </w:r>
    </w:p>
    <w:p w:rsidR="00F73CCA" w:rsidRPr="008C78FC" w:rsidRDefault="00F73CCA" w:rsidP="00F73CCA">
      <w:pPr>
        <w:pStyle w:val="Odlomakpopisa"/>
        <w:numPr>
          <w:ilvl w:val="0"/>
          <w:numId w:val="5"/>
        </w:numPr>
        <w:spacing w:after="200" w:line="480" w:lineRule="auto"/>
        <w:rPr>
          <w:rStyle w:val="addmd"/>
          <w:rFonts w:eastAsiaTheme="majorEastAsia"/>
          <w:szCs w:val="24"/>
          <w:lang w:val="hr-HR"/>
        </w:rPr>
      </w:pPr>
      <w:proofErr w:type="spellStart"/>
      <w:r w:rsidRPr="008C78FC">
        <w:rPr>
          <w:rStyle w:val="addmd"/>
          <w:rFonts w:eastAsiaTheme="majorEastAsia"/>
          <w:szCs w:val="24"/>
          <w:lang w:val="hr-HR"/>
        </w:rPr>
        <w:t>Girgio</w:t>
      </w:r>
      <w:proofErr w:type="spellEnd"/>
      <w:r w:rsidRPr="008C78FC">
        <w:rPr>
          <w:rStyle w:val="addmd"/>
          <w:rFonts w:eastAsiaTheme="majorEastAsia"/>
          <w:szCs w:val="24"/>
          <w:lang w:val="hr-HR"/>
        </w:rPr>
        <w:t xml:space="preserve"> </w:t>
      </w:r>
      <w:proofErr w:type="spellStart"/>
      <w:r w:rsidRPr="008C78FC">
        <w:rPr>
          <w:rStyle w:val="addmd"/>
          <w:rFonts w:eastAsiaTheme="majorEastAsia"/>
          <w:szCs w:val="24"/>
          <w:lang w:val="hr-HR"/>
        </w:rPr>
        <w:t>Monti</w:t>
      </w:r>
      <w:proofErr w:type="spellEnd"/>
      <w:r w:rsidRPr="008C78FC">
        <w:rPr>
          <w:rStyle w:val="addmd"/>
          <w:rFonts w:eastAsiaTheme="majorEastAsia"/>
          <w:szCs w:val="24"/>
          <w:lang w:val="hr-HR"/>
        </w:rPr>
        <w:t xml:space="preserve">, </w:t>
      </w:r>
      <w:r w:rsidRPr="008C78FC">
        <w:rPr>
          <w:rStyle w:val="addmd"/>
          <w:rFonts w:eastAsiaTheme="majorEastAsia"/>
          <w:i/>
          <w:szCs w:val="24"/>
          <w:lang w:val="hr-HR"/>
        </w:rPr>
        <w:t xml:space="preserve">EC </w:t>
      </w:r>
      <w:proofErr w:type="spellStart"/>
      <w:r w:rsidRPr="008C78FC">
        <w:rPr>
          <w:rStyle w:val="addmd"/>
          <w:rFonts w:eastAsiaTheme="majorEastAsia"/>
          <w:i/>
          <w:szCs w:val="24"/>
          <w:lang w:val="hr-HR"/>
        </w:rPr>
        <w:t>Competition</w:t>
      </w:r>
      <w:proofErr w:type="spellEnd"/>
      <w:r w:rsidRPr="008C78FC">
        <w:rPr>
          <w:rStyle w:val="addmd"/>
          <w:rFonts w:eastAsiaTheme="majorEastAsia"/>
          <w:i/>
          <w:szCs w:val="24"/>
          <w:lang w:val="hr-HR"/>
        </w:rPr>
        <w:t xml:space="preserve"> </w:t>
      </w:r>
      <w:proofErr w:type="spellStart"/>
      <w:r w:rsidRPr="008C78FC">
        <w:rPr>
          <w:rStyle w:val="addmd"/>
          <w:rFonts w:eastAsiaTheme="majorEastAsia"/>
          <w:i/>
          <w:szCs w:val="24"/>
          <w:lang w:val="hr-HR"/>
        </w:rPr>
        <w:t>law</w:t>
      </w:r>
      <w:proofErr w:type="spellEnd"/>
      <w:r w:rsidRPr="008C78FC">
        <w:rPr>
          <w:rStyle w:val="addmd"/>
          <w:rFonts w:eastAsiaTheme="majorEastAsia"/>
          <w:i/>
          <w:szCs w:val="24"/>
          <w:lang w:val="hr-HR"/>
        </w:rPr>
        <w:t xml:space="preserve"> </w:t>
      </w:r>
      <w:r w:rsidRPr="008C78FC">
        <w:rPr>
          <w:rStyle w:val="addmd"/>
          <w:rFonts w:eastAsiaTheme="majorEastAsia"/>
          <w:szCs w:val="24"/>
          <w:lang w:val="hr-HR"/>
        </w:rPr>
        <w:t>(1</w:t>
      </w:r>
      <w:r w:rsidRPr="008C78FC">
        <w:rPr>
          <w:rStyle w:val="addmd"/>
          <w:rFonts w:eastAsiaTheme="majorEastAsia"/>
          <w:szCs w:val="24"/>
          <w:vertAlign w:val="superscript"/>
          <w:lang w:val="hr-HR"/>
        </w:rPr>
        <w:t>st</w:t>
      </w:r>
      <w:r w:rsidRPr="008C78FC">
        <w:rPr>
          <w:rStyle w:val="addmd"/>
          <w:rFonts w:eastAsiaTheme="majorEastAsia"/>
          <w:szCs w:val="24"/>
          <w:lang w:val="hr-HR"/>
        </w:rPr>
        <w:t xml:space="preserve"> </w:t>
      </w:r>
      <w:proofErr w:type="spellStart"/>
      <w:r w:rsidRPr="008C78FC">
        <w:rPr>
          <w:rStyle w:val="addmd"/>
          <w:rFonts w:eastAsiaTheme="majorEastAsia"/>
          <w:szCs w:val="24"/>
          <w:lang w:val="hr-HR"/>
        </w:rPr>
        <w:t>edition</w:t>
      </w:r>
      <w:proofErr w:type="spellEnd"/>
      <w:r w:rsidRPr="008C78FC">
        <w:rPr>
          <w:rStyle w:val="addmd"/>
          <w:rFonts w:eastAsiaTheme="majorEastAsia"/>
          <w:szCs w:val="24"/>
          <w:lang w:val="hr-HR"/>
        </w:rPr>
        <w:t xml:space="preserve">, </w:t>
      </w:r>
      <w:proofErr w:type="spellStart"/>
      <w:r w:rsidRPr="008C78FC">
        <w:rPr>
          <w:rStyle w:val="addmd"/>
          <w:rFonts w:eastAsiaTheme="majorEastAsia"/>
          <w:szCs w:val="24"/>
          <w:lang w:val="hr-HR"/>
        </w:rPr>
        <w:t>Cambridge</w:t>
      </w:r>
      <w:proofErr w:type="spellEnd"/>
      <w:r w:rsidRPr="008C78FC">
        <w:rPr>
          <w:rStyle w:val="addmd"/>
          <w:rFonts w:eastAsiaTheme="majorEastAsia"/>
          <w:szCs w:val="24"/>
          <w:lang w:val="hr-HR"/>
        </w:rPr>
        <w:t xml:space="preserve"> </w:t>
      </w:r>
      <w:proofErr w:type="spellStart"/>
      <w:r w:rsidRPr="008C78FC">
        <w:rPr>
          <w:rStyle w:val="addmd"/>
          <w:rFonts w:eastAsiaTheme="majorEastAsia"/>
          <w:szCs w:val="24"/>
          <w:lang w:val="hr-HR"/>
        </w:rPr>
        <w:t>University</w:t>
      </w:r>
      <w:proofErr w:type="spellEnd"/>
      <w:r w:rsidRPr="008C78FC">
        <w:rPr>
          <w:rStyle w:val="addmd"/>
          <w:rFonts w:eastAsiaTheme="majorEastAsia"/>
          <w:szCs w:val="24"/>
          <w:lang w:val="hr-HR"/>
        </w:rPr>
        <w:t xml:space="preserve"> </w:t>
      </w:r>
      <w:proofErr w:type="spellStart"/>
      <w:r w:rsidRPr="008C78FC">
        <w:rPr>
          <w:rStyle w:val="addmd"/>
          <w:rFonts w:eastAsiaTheme="majorEastAsia"/>
          <w:szCs w:val="24"/>
          <w:lang w:val="hr-HR"/>
        </w:rPr>
        <w:t>Press</w:t>
      </w:r>
      <w:proofErr w:type="spellEnd"/>
      <w:r w:rsidRPr="008C78FC">
        <w:rPr>
          <w:rStyle w:val="addmd"/>
          <w:rFonts w:eastAsiaTheme="majorEastAsia"/>
          <w:szCs w:val="24"/>
          <w:lang w:val="hr-HR"/>
        </w:rPr>
        <w:t>, 2008)</w:t>
      </w:r>
    </w:p>
    <w:p w:rsidR="00F73CCA" w:rsidRPr="008C78FC" w:rsidRDefault="00F73CCA" w:rsidP="00F73CCA">
      <w:pPr>
        <w:pStyle w:val="Odlomakpopisa"/>
        <w:numPr>
          <w:ilvl w:val="0"/>
          <w:numId w:val="5"/>
        </w:numPr>
        <w:spacing w:after="200" w:line="480" w:lineRule="auto"/>
        <w:rPr>
          <w:rStyle w:val="addmd"/>
          <w:i/>
          <w:szCs w:val="24"/>
          <w:lang w:val="hr-HR"/>
        </w:rPr>
      </w:pPr>
      <w:r w:rsidRPr="008C78FC">
        <w:rPr>
          <w:rStyle w:val="addmd"/>
          <w:rFonts w:eastAsiaTheme="majorEastAsia"/>
          <w:szCs w:val="24"/>
          <w:lang w:val="hr-HR"/>
        </w:rPr>
        <w:t xml:space="preserve">Richard </w:t>
      </w:r>
      <w:proofErr w:type="spellStart"/>
      <w:r w:rsidRPr="008C78FC">
        <w:rPr>
          <w:rStyle w:val="addmd"/>
          <w:rFonts w:eastAsiaTheme="majorEastAsia"/>
          <w:szCs w:val="24"/>
          <w:lang w:val="hr-HR"/>
        </w:rPr>
        <w:t>Whish</w:t>
      </w:r>
      <w:proofErr w:type="spellEnd"/>
      <w:r w:rsidRPr="008C78FC">
        <w:rPr>
          <w:rStyle w:val="addmd"/>
          <w:rFonts w:eastAsiaTheme="majorEastAsia"/>
          <w:szCs w:val="24"/>
          <w:lang w:val="hr-HR"/>
        </w:rPr>
        <w:t xml:space="preserve">, David </w:t>
      </w:r>
      <w:proofErr w:type="spellStart"/>
      <w:r w:rsidRPr="008C78FC">
        <w:rPr>
          <w:rStyle w:val="addmd"/>
          <w:rFonts w:eastAsiaTheme="majorEastAsia"/>
          <w:szCs w:val="24"/>
          <w:lang w:val="hr-HR"/>
        </w:rPr>
        <w:t>Bailey</w:t>
      </w:r>
      <w:proofErr w:type="spellEnd"/>
      <w:r w:rsidRPr="008C78FC">
        <w:rPr>
          <w:rStyle w:val="addmd"/>
          <w:rFonts w:eastAsiaTheme="majorEastAsia"/>
          <w:szCs w:val="24"/>
          <w:lang w:val="hr-HR"/>
        </w:rPr>
        <w:t xml:space="preserve"> </w:t>
      </w:r>
      <w:proofErr w:type="spellStart"/>
      <w:r w:rsidRPr="008C78FC">
        <w:rPr>
          <w:rStyle w:val="addmd"/>
          <w:rFonts w:eastAsiaTheme="majorEastAsia"/>
          <w:i/>
          <w:szCs w:val="24"/>
          <w:lang w:val="hr-HR"/>
        </w:rPr>
        <w:t>Competition</w:t>
      </w:r>
      <w:proofErr w:type="spellEnd"/>
      <w:r w:rsidRPr="008C78FC">
        <w:rPr>
          <w:rStyle w:val="addmd"/>
          <w:rFonts w:eastAsiaTheme="majorEastAsia"/>
          <w:i/>
          <w:szCs w:val="24"/>
          <w:lang w:val="hr-HR"/>
        </w:rPr>
        <w:t xml:space="preserve"> </w:t>
      </w:r>
      <w:proofErr w:type="spellStart"/>
      <w:r w:rsidRPr="008C78FC">
        <w:rPr>
          <w:rStyle w:val="addmd"/>
          <w:rFonts w:eastAsiaTheme="majorEastAsia"/>
          <w:i/>
          <w:szCs w:val="24"/>
          <w:lang w:val="hr-HR"/>
        </w:rPr>
        <w:t>Law</w:t>
      </w:r>
      <w:proofErr w:type="spellEnd"/>
      <w:r w:rsidRPr="008C78FC">
        <w:rPr>
          <w:rStyle w:val="addmd"/>
          <w:rFonts w:eastAsiaTheme="majorEastAsia"/>
          <w:i/>
          <w:szCs w:val="24"/>
          <w:lang w:val="hr-HR"/>
        </w:rPr>
        <w:t xml:space="preserve"> </w:t>
      </w:r>
      <w:r w:rsidRPr="008C78FC">
        <w:rPr>
          <w:rStyle w:val="addmd"/>
          <w:rFonts w:eastAsiaTheme="majorEastAsia"/>
          <w:szCs w:val="24"/>
          <w:lang w:val="hr-HR"/>
        </w:rPr>
        <w:t>(4</w:t>
      </w:r>
      <w:r w:rsidRPr="008C78FC">
        <w:rPr>
          <w:rStyle w:val="addmd"/>
          <w:rFonts w:eastAsiaTheme="majorEastAsia"/>
          <w:szCs w:val="24"/>
          <w:vertAlign w:val="superscript"/>
          <w:lang w:val="hr-HR"/>
        </w:rPr>
        <w:t>th</w:t>
      </w:r>
      <w:r w:rsidRPr="008C78FC">
        <w:rPr>
          <w:rStyle w:val="addmd"/>
          <w:rFonts w:eastAsiaTheme="majorEastAsia"/>
          <w:szCs w:val="24"/>
          <w:lang w:val="hr-HR"/>
        </w:rPr>
        <w:t xml:space="preserve"> </w:t>
      </w:r>
      <w:proofErr w:type="spellStart"/>
      <w:r w:rsidRPr="008C78FC">
        <w:rPr>
          <w:rStyle w:val="addmd"/>
          <w:rFonts w:eastAsiaTheme="majorEastAsia"/>
          <w:szCs w:val="24"/>
          <w:lang w:val="hr-HR"/>
        </w:rPr>
        <w:t>edition</w:t>
      </w:r>
      <w:proofErr w:type="spellEnd"/>
      <w:r w:rsidRPr="008C78FC">
        <w:rPr>
          <w:rStyle w:val="addmd"/>
          <w:rFonts w:eastAsiaTheme="majorEastAsia"/>
          <w:szCs w:val="24"/>
          <w:lang w:val="hr-HR"/>
        </w:rPr>
        <w:t xml:space="preserve">, </w:t>
      </w:r>
      <w:proofErr w:type="spellStart"/>
      <w:r w:rsidRPr="008C78FC">
        <w:rPr>
          <w:rStyle w:val="addmd"/>
          <w:rFonts w:eastAsiaTheme="majorEastAsia"/>
          <w:szCs w:val="24"/>
          <w:lang w:val="hr-HR"/>
        </w:rPr>
        <w:t>Oxford</w:t>
      </w:r>
      <w:proofErr w:type="spellEnd"/>
      <w:r w:rsidRPr="008C78FC">
        <w:rPr>
          <w:rStyle w:val="addmd"/>
          <w:rFonts w:eastAsiaTheme="majorEastAsia"/>
          <w:szCs w:val="24"/>
          <w:lang w:val="hr-HR"/>
        </w:rPr>
        <w:t xml:space="preserve"> </w:t>
      </w:r>
      <w:proofErr w:type="spellStart"/>
      <w:r w:rsidRPr="008C78FC">
        <w:rPr>
          <w:rStyle w:val="addmd"/>
          <w:rFonts w:eastAsiaTheme="majorEastAsia"/>
          <w:szCs w:val="24"/>
          <w:lang w:val="hr-HR"/>
        </w:rPr>
        <w:t>University</w:t>
      </w:r>
      <w:proofErr w:type="spellEnd"/>
      <w:r w:rsidRPr="008C78FC">
        <w:rPr>
          <w:rStyle w:val="addmd"/>
          <w:rFonts w:eastAsiaTheme="majorEastAsia"/>
          <w:szCs w:val="24"/>
          <w:lang w:val="hr-HR"/>
        </w:rPr>
        <w:t xml:space="preserve"> </w:t>
      </w:r>
      <w:proofErr w:type="spellStart"/>
      <w:r w:rsidRPr="008C78FC">
        <w:rPr>
          <w:rStyle w:val="addmd"/>
          <w:rFonts w:eastAsiaTheme="majorEastAsia"/>
          <w:szCs w:val="24"/>
          <w:lang w:val="hr-HR"/>
        </w:rPr>
        <w:t>Press</w:t>
      </w:r>
      <w:proofErr w:type="spellEnd"/>
      <w:r w:rsidRPr="008C78FC">
        <w:rPr>
          <w:rStyle w:val="addmd"/>
          <w:rFonts w:eastAsiaTheme="majorEastAsia"/>
          <w:szCs w:val="24"/>
          <w:lang w:val="hr-HR"/>
        </w:rPr>
        <w:t>)</w:t>
      </w:r>
    </w:p>
    <w:p w:rsidR="00B0158D" w:rsidRPr="008C78FC" w:rsidRDefault="00B0158D" w:rsidP="00B0158D">
      <w:pPr>
        <w:spacing w:line="480" w:lineRule="auto"/>
        <w:rPr>
          <w:b/>
          <w:szCs w:val="24"/>
          <w:lang w:val="hr-HR"/>
        </w:rPr>
      </w:pPr>
      <w:r w:rsidRPr="008C78FC">
        <w:rPr>
          <w:b/>
          <w:szCs w:val="24"/>
          <w:lang w:val="hr-HR"/>
        </w:rPr>
        <w:t xml:space="preserve">Članci: </w:t>
      </w:r>
    </w:p>
    <w:p w:rsidR="00B0158D" w:rsidRPr="008C78FC" w:rsidRDefault="00B0158D" w:rsidP="00B0158D">
      <w:pPr>
        <w:pStyle w:val="Odlomakpopisa"/>
        <w:numPr>
          <w:ilvl w:val="0"/>
          <w:numId w:val="4"/>
        </w:numPr>
        <w:spacing w:after="200" w:line="480" w:lineRule="auto"/>
        <w:rPr>
          <w:szCs w:val="24"/>
          <w:lang w:val="hr-HR"/>
        </w:rPr>
      </w:pPr>
      <w:proofErr w:type="spellStart"/>
      <w:r w:rsidRPr="008C78FC">
        <w:rPr>
          <w:szCs w:val="24"/>
          <w:lang w:val="hr-HR"/>
        </w:rPr>
        <w:t>Andreangeli</w:t>
      </w:r>
      <w:proofErr w:type="spellEnd"/>
      <w:r w:rsidRPr="008C78FC">
        <w:rPr>
          <w:szCs w:val="24"/>
          <w:lang w:val="hr-HR"/>
        </w:rPr>
        <w:t xml:space="preserve">, </w:t>
      </w:r>
      <w:proofErr w:type="spellStart"/>
      <w:r w:rsidRPr="008C78FC">
        <w:rPr>
          <w:szCs w:val="24"/>
          <w:lang w:val="hr-HR"/>
        </w:rPr>
        <w:t>Arianna</w:t>
      </w:r>
      <w:proofErr w:type="spellEnd"/>
      <w:r w:rsidRPr="008C78FC">
        <w:rPr>
          <w:szCs w:val="24"/>
          <w:lang w:val="hr-HR"/>
        </w:rPr>
        <w:t xml:space="preserve"> ‘</w:t>
      </w:r>
      <w:proofErr w:type="spellStart"/>
      <w:r w:rsidRPr="008C78FC">
        <w:rPr>
          <w:szCs w:val="24"/>
          <w:lang w:val="hr-HR"/>
        </w:rPr>
        <w:t>From</w:t>
      </w:r>
      <w:proofErr w:type="spellEnd"/>
      <w:r w:rsidRPr="008C78FC">
        <w:rPr>
          <w:szCs w:val="24"/>
          <w:lang w:val="hr-HR"/>
        </w:rPr>
        <w:t xml:space="preserve"> Mobile </w:t>
      </w:r>
      <w:proofErr w:type="spellStart"/>
      <w:r w:rsidRPr="008C78FC">
        <w:rPr>
          <w:szCs w:val="24"/>
          <w:lang w:val="hr-HR"/>
        </w:rPr>
        <w:t>Phones</w:t>
      </w:r>
      <w:proofErr w:type="spellEnd"/>
      <w:r w:rsidRPr="008C78FC">
        <w:rPr>
          <w:szCs w:val="24"/>
          <w:lang w:val="hr-HR"/>
        </w:rPr>
        <w:t xml:space="preserve"> to </w:t>
      </w:r>
      <w:proofErr w:type="spellStart"/>
      <w:r w:rsidRPr="008C78FC">
        <w:rPr>
          <w:szCs w:val="24"/>
          <w:lang w:val="hr-HR"/>
        </w:rPr>
        <w:t>Cattle</w:t>
      </w:r>
      <w:proofErr w:type="spellEnd"/>
      <w:r w:rsidRPr="008C78FC">
        <w:rPr>
          <w:szCs w:val="24"/>
          <w:lang w:val="hr-HR"/>
        </w:rPr>
        <w:t xml:space="preserve">: </w:t>
      </w:r>
      <w:proofErr w:type="spellStart"/>
      <w:r w:rsidRPr="008C78FC">
        <w:rPr>
          <w:szCs w:val="24"/>
          <w:lang w:val="hr-HR"/>
        </w:rPr>
        <w:t>How</w:t>
      </w:r>
      <w:proofErr w:type="spellEnd"/>
      <w:r w:rsidRPr="008C78FC">
        <w:rPr>
          <w:szCs w:val="24"/>
          <w:lang w:val="hr-HR"/>
        </w:rPr>
        <w:t xml:space="preserve"> </w:t>
      </w:r>
      <w:proofErr w:type="spellStart"/>
      <w:r w:rsidRPr="008C78FC">
        <w:rPr>
          <w:szCs w:val="24"/>
          <w:lang w:val="hr-HR"/>
        </w:rPr>
        <w:t>the</w:t>
      </w:r>
      <w:proofErr w:type="spellEnd"/>
      <w:r w:rsidRPr="008C78FC">
        <w:rPr>
          <w:szCs w:val="24"/>
          <w:lang w:val="hr-HR"/>
        </w:rPr>
        <w:t xml:space="preserve"> Court </w:t>
      </w:r>
      <w:proofErr w:type="spellStart"/>
      <w:r w:rsidRPr="008C78FC">
        <w:rPr>
          <w:szCs w:val="24"/>
          <w:lang w:val="hr-HR"/>
        </w:rPr>
        <w:t>of</w:t>
      </w:r>
      <w:proofErr w:type="spellEnd"/>
      <w:r w:rsidRPr="008C78FC">
        <w:rPr>
          <w:szCs w:val="24"/>
          <w:lang w:val="hr-HR"/>
        </w:rPr>
        <w:t xml:space="preserve"> </w:t>
      </w:r>
      <w:proofErr w:type="spellStart"/>
      <w:r w:rsidRPr="008C78FC">
        <w:rPr>
          <w:szCs w:val="24"/>
          <w:lang w:val="hr-HR"/>
        </w:rPr>
        <w:t>Justice</w:t>
      </w:r>
      <w:proofErr w:type="spellEnd"/>
      <w:r w:rsidRPr="008C78FC">
        <w:rPr>
          <w:szCs w:val="24"/>
          <w:lang w:val="hr-HR"/>
        </w:rPr>
        <w:t xml:space="preserve"> is  </w:t>
      </w:r>
      <w:proofErr w:type="spellStart"/>
      <w:r w:rsidRPr="008C78FC">
        <w:rPr>
          <w:szCs w:val="24"/>
          <w:lang w:val="hr-HR"/>
        </w:rPr>
        <w:t>reaframing</w:t>
      </w:r>
      <w:proofErr w:type="spellEnd"/>
      <w:r w:rsidRPr="008C78FC">
        <w:rPr>
          <w:szCs w:val="24"/>
          <w:lang w:val="hr-HR"/>
        </w:rPr>
        <w:t xml:space="preserve"> </w:t>
      </w:r>
      <w:proofErr w:type="spellStart"/>
      <w:r w:rsidRPr="008C78FC">
        <w:rPr>
          <w:szCs w:val="24"/>
          <w:lang w:val="hr-HR"/>
        </w:rPr>
        <w:t>the</w:t>
      </w:r>
      <w:proofErr w:type="spellEnd"/>
      <w:r w:rsidRPr="008C78FC">
        <w:rPr>
          <w:szCs w:val="24"/>
          <w:lang w:val="hr-HR"/>
        </w:rPr>
        <w:t xml:space="preserve"> </w:t>
      </w:r>
      <w:proofErr w:type="spellStart"/>
      <w:r w:rsidRPr="008C78FC">
        <w:rPr>
          <w:szCs w:val="24"/>
          <w:lang w:val="hr-HR"/>
        </w:rPr>
        <w:t>approach</w:t>
      </w:r>
      <w:proofErr w:type="spellEnd"/>
      <w:r w:rsidRPr="008C78FC">
        <w:rPr>
          <w:szCs w:val="24"/>
          <w:lang w:val="hr-HR"/>
        </w:rPr>
        <w:t xml:space="preserve"> to </w:t>
      </w:r>
      <w:proofErr w:type="spellStart"/>
      <w:r w:rsidRPr="008C78FC">
        <w:rPr>
          <w:szCs w:val="24"/>
          <w:lang w:val="hr-HR"/>
        </w:rPr>
        <w:t>article</w:t>
      </w:r>
      <w:proofErr w:type="spellEnd"/>
      <w:r w:rsidRPr="008C78FC">
        <w:rPr>
          <w:szCs w:val="24"/>
          <w:lang w:val="hr-HR"/>
        </w:rPr>
        <w:t xml:space="preserve"> 101 </w:t>
      </w:r>
      <w:proofErr w:type="spellStart"/>
      <w:r w:rsidRPr="008C78FC">
        <w:rPr>
          <w:szCs w:val="24"/>
          <w:lang w:val="hr-HR"/>
        </w:rPr>
        <w:t>of</w:t>
      </w:r>
      <w:proofErr w:type="spellEnd"/>
      <w:r w:rsidRPr="008C78FC">
        <w:rPr>
          <w:szCs w:val="24"/>
          <w:lang w:val="hr-HR"/>
        </w:rPr>
        <w:t xml:space="preserve"> </w:t>
      </w:r>
      <w:proofErr w:type="spellStart"/>
      <w:r w:rsidRPr="008C78FC">
        <w:rPr>
          <w:szCs w:val="24"/>
          <w:lang w:val="hr-HR"/>
        </w:rPr>
        <w:t>the</w:t>
      </w:r>
      <w:proofErr w:type="spellEnd"/>
      <w:r w:rsidRPr="008C78FC">
        <w:rPr>
          <w:szCs w:val="24"/>
          <w:lang w:val="hr-HR"/>
        </w:rPr>
        <w:t xml:space="preserve"> EU </w:t>
      </w:r>
      <w:proofErr w:type="spellStart"/>
      <w:r w:rsidRPr="008C78FC">
        <w:rPr>
          <w:szCs w:val="24"/>
          <w:lang w:val="hr-HR"/>
        </w:rPr>
        <w:t>Treaty</w:t>
      </w:r>
      <w:proofErr w:type="spellEnd"/>
      <w:r w:rsidRPr="008C78FC">
        <w:rPr>
          <w:szCs w:val="24"/>
          <w:lang w:val="hr-HR"/>
        </w:rPr>
        <w:t xml:space="preserve">’, World </w:t>
      </w:r>
      <w:proofErr w:type="spellStart"/>
      <w:r w:rsidRPr="008C78FC">
        <w:rPr>
          <w:szCs w:val="24"/>
          <w:lang w:val="hr-HR"/>
        </w:rPr>
        <w:t>Competition</w:t>
      </w:r>
      <w:proofErr w:type="spellEnd"/>
      <w:r w:rsidRPr="008C78FC">
        <w:rPr>
          <w:szCs w:val="24"/>
          <w:lang w:val="hr-HR"/>
        </w:rPr>
        <w:t xml:space="preserve"> 215</w:t>
      </w:r>
    </w:p>
    <w:p w:rsidR="00B0158D" w:rsidRPr="008C78FC" w:rsidRDefault="00B0158D" w:rsidP="00B0158D">
      <w:pPr>
        <w:pStyle w:val="Odlomakpopisa"/>
        <w:numPr>
          <w:ilvl w:val="0"/>
          <w:numId w:val="4"/>
        </w:numPr>
        <w:spacing w:after="200" w:line="480" w:lineRule="auto"/>
        <w:rPr>
          <w:szCs w:val="24"/>
          <w:lang w:val="hr-HR"/>
        </w:rPr>
      </w:pPr>
      <w:r w:rsidRPr="008C78FC">
        <w:rPr>
          <w:szCs w:val="24"/>
          <w:lang w:val="hr-HR"/>
        </w:rPr>
        <w:lastRenderedPageBreak/>
        <w:t xml:space="preserve">David </w:t>
      </w:r>
      <w:proofErr w:type="spellStart"/>
      <w:r w:rsidRPr="008C78FC">
        <w:rPr>
          <w:szCs w:val="24"/>
          <w:lang w:val="hr-HR"/>
        </w:rPr>
        <w:t>Bailey</w:t>
      </w:r>
      <w:proofErr w:type="spellEnd"/>
      <w:r w:rsidRPr="008C78FC">
        <w:rPr>
          <w:szCs w:val="24"/>
          <w:lang w:val="hr-HR"/>
        </w:rPr>
        <w:t>, ‘</w:t>
      </w:r>
      <w:proofErr w:type="spellStart"/>
      <w:r w:rsidRPr="008C78FC">
        <w:rPr>
          <w:szCs w:val="24"/>
          <w:lang w:val="hr-HR"/>
        </w:rPr>
        <w:t>Restrictions</w:t>
      </w:r>
      <w:proofErr w:type="spellEnd"/>
      <w:r w:rsidRPr="008C78FC">
        <w:rPr>
          <w:szCs w:val="24"/>
          <w:lang w:val="hr-HR"/>
        </w:rPr>
        <w:t xml:space="preserve"> </w:t>
      </w:r>
      <w:proofErr w:type="spellStart"/>
      <w:r w:rsidRPr="008C78FC">
        <w:rPr>
          <w:szCs w:val="24"/>
          <w:lang w:val="hr-HR"/>
        </w:rPr>
        <w:t>of</w:t>
      </w:r>
      <w:proofErr w:type="spellEnd"/>
      <w:r w:rsidRPr="008C78FC">
        <w:rPr>
          <w:szCs w:val="24"/>
          <w:lang w:val="hr-HR"/>
        </w:rPr>
        <w:t xml:space="preserve"> </w:t>
      </w:r>
      <w:proofErr w:type="spellStart"/>
      <w:r w:rsidRPr="008C78FC">
        <w:rPr>
          <w:szCs w:val="24"/>
          <w:lang w:val="hr-HR"/>
        </w:rPr>
        <w:t>competition</w:t>
      </w:r>
      <w:proofErr w:type="spellEnd"/>
      <w:r w:rsidRPr="008C78FC">
        <w:rPr>
          <w:szCs w:val="24"/>
          <w:lang w:val="hr-HR"/>
        </w:rPr>
        <w:t xml:space="preserve"> </w:t>
      </w:r>
      <w:proofErr w:type="spellStart"/>
      <w:r w:rsidRPr="008C78FC">
        <w:rPr>
          <w:szCs w:val="24"/>
          <w:lang w:val="hr-HR"/>
        </w:rPr>
        <w:t>by</w:t>
      </w:r>
      <w:proofErr w:type="spellEnd"/>
      <w:r w:rsidRPr="008C78FC">
        <w:rPr>
          <w:szCs w:val="24"/>
          <w:lang w:val="hr-HR"/>
        </w:rPr>
        <w:t xml:space="preserve"> </w:t>
      </w:r>
      <w:proofErr w:type="spellStart"/>
      <w:r w:rsidRPr="008C78FC">
        <w:rPr>
          <w:szCs w:val="24"/>
          <w:lang w:val="hr-HR"/>
        </w:rPr>
        <w:t>object</w:t>
      </w:r>
      <w:proofErr w:type="spellEnd"/>
      <w:r w:rsidRPr="008C78FC">
        <w:rPr>
          <w:szCs w:val="24"/>
          <w:lang w:val="hr-HR"/>
        </w:rPr>
        <w:t xml:space="preserve"> </w:t>
      </w:r>
      <w:proofErr w:type="spellStart"/>
      <w:r w:rsidRPr="008C78FC">
        <w:rPr>
          <w:szCs w:val="24"/>
          <w:lang w:val="hr-HR"/>
        </w:rPr>
        <w:t>under</w:t>
      </w:r>
      <w:proofErr w:type="spellEnd"/>
      <w:r w:rsidRPr="008C78FC">
        <w:rPr>
          <w:szCs w:val="24"/>
          <w:lang w:val="hr-HR"/>
        </w:rPr>
        <w:t xml:space="preserve"> </w:t>
      </w:r>
      <w:proofErr w:type="spellStart"/>
      <w:r w:rsidRPr="008C78FC">
        <w:rPr>
          <w:szCs w:val="24"/>
          <w:lang w:val="hr-HR"/>
        </w:rPr>
        <w:t>Article</w:t>
      </w:r>
      <w:proofErr w:type="spellEnd"/>
      <w:r w:rsidRPr="008C78FC">
        <w:rPr>
          <w:szCs w:val="24"/>
          <w:lang w:val="hr-HR"/>
        </w:rPr>
        <w:t xml:space="preserve"> 101 </w:t>
      </w:r>
      <w:proofErr w:type="spellStart"/>
      <w:r w:rsidRPr="008C78FC">
        <w:rPr>
          <w:szCs w:val="24"/>
          <w:lang w:val="hr-HR"/>
        </w:rPr>
        <w:t>TFEU</w:t>
      </w:r>
      <w:proofErr w:type="spellEnd"/>
      <w:r w:rsidRPr="008C78FC">
        <w:rPr>
          <w:szCs w:val="24"/>
          <w:lang w:val="hr-HR"/>
        </w:rPr>
        <w:t xml:space="preserve">’ (2012) </w:t>
      </w:r>
      <w:proofErr w:type="spellStart"/>
      <w:r w:rsidRPr="008C78FC">
        <w:rPr>
          <w:szCs w:val="24"/>
          <w:lang w:val="hr-HR"/>
        </w:rPr>
        <w:t>Common</w:t>
      </w:r>
      <w:proofErr w:type="spellEnd"/>
      <w:r w:rsidRPr="008C78FC">
        <w:rPr>
          <w:szCs w:val="24"/>
          <w:lang w:val="hr-HR"/>
        </w:rPr>
        <w:t xml:space="preserve"> </w:t>
      </w:r>
      <w:proofErr w:type="spellStart"/>
      <w:r w:rsidRPr="008C78FC">
        <w:rPr>
          <w:szCs w:val="24"/>
          <w:lang w:val="hr-HR"/>
        </w:rPr>
        <w:t>Market</w:t>
      </w:r>
      <w:proofErr w:type="spellEnd"/>
      <w:r w:rsidRPr="008C78FC">
        <w:rPr>
          <w:szCs w:val="24"/>
          <w:lang w:val="hr-HR"/>
        </w:rPr>
        <w:t xml:space="preserve"> </w:t>
      </w:r>
      <w:proofErr w:type="spellStart"/>
      <w:r w:rsidRPr="008C78FC">
        <w:rPr>
          <w:szCs w:val="24"/>
          <w:lang w:val="hr-HR"/>
        </w:rPr>
        <w:t>Law</w:t>
      </w:r>
      <w:proofErr w:type="spellEnd"/>
      <w:r w:rsidRPr="008C78FC">
        <w:rPr>
          <w:szCs w:val="24"/>
          <w:lang w:val="hr-HR"/>
        </w:rPr>
        <w:t xml:space="preserve"> </w:t>
      </w:r>
      <w:proofErr w:type="spellStart"/>
      <w:r w:rsidRPr="008C78FC">
        <w:rPr>
          <w:szCs w:val="24"/>
          <w:lang w:val="hr-HR"/>
        </w:rPr>
        <w:t>Review</w:t>
      </w:r>
      <w:proofErr w:type="spellEnd"/>
      <w:r w:rsidRPr="008C78FC">
        <w:rPr>
          <w:szCs w:val="24"/>
          <w:lang w:val="hr-HR"/>
        </w:rPr>
        <w:t xml:space="preserve"> 559</w:t>
      </w:r>
    </w:p>
    <w:p w:rsidR="00B0158D" w:rsidRPr="008C78FC" w:rsidRDefault="00B0158D" w:rsidP="00B0158D">
      <w:pPr>
        <w:pStyle w:val="Odlomakpopisa"/>
        <w:numPr>
          <w:ilvl w:val="0"/>
          <w:numId w:val="4"/>
        </w:numPr>
        <w:spacing w:after="200" w:line="480" w:lineRule="auto"/>
        <w:rPr>
          <w:szCs w:val="24"/>
          <w:lang w:val="hr-HR"/>
        </w:rPr>
      </w:pPr>
      <w:proofErr w:type="spellStart"/>
      <w:r w:rsidRPr="008C78FC">
        <w:rPr>
          <w:szCs w:val="24"/>
          <w:lang w:val="hr-HR"/>
        </w:rPr>
        <w:t>Cosmo</w:t>
      </w:r>
      <w:proofErr w:type="spellEnd"/>
      <w:r w:rsidRPr="008C78FC">
        <w:rPr>
          <w:szCs w:val="24"/>
          <w:lang w:val="hr-HR"/>
        </w:rPr>
        <w:t xml:space="preserve"> Graham, ‘</w:t>
      </w:r>
      <w:proofErr w:type="spellStart"/>
      <w:r w:rsidRPr="008C78FC">
        <w:rPr>
          <w:szCs w:val="24"/>
          <w:lang w:val="hr-HR"/>
        </w:rPr>
        <w:t>Methods</w:t>
      </w:r>
      <w:proofErr w:type="spellEnd"/>
      <w:r w:rsidRPr="008C78FC">
        <w:rPr>
          <w:szCs w:val="24"/>
          <w:lang w:val="hr-HR"/>
        </w:rPr>
        <w:t xml:space="preserve"> for </w:t>
      </w:r>
      <w:proofErr w:type="spellStart"/>
      <w:r w:rsidRPr="008C78FC">
        <w:rPr>
          <w:szCs w:val="24"/>
          <w:lang w:val="hr-HR"/>
        </w:rPr>
        <w:t>determining</w:t>
      </w:r>
      <w:proofErr w:type="spellEnd"/>
      <w:r w:rsidRPr="008C78FC">
        <w:rPr>
          <w:szCs w:val="24"/>
          <w:lang w:val="hr-HR"/>
        </w:rPr>
        <w:t xml:space="preserve"> </w:t>
      </w:r>
      <w:proofErr w:type="spellStart"/>
      <w:r w:rsidRPr="008C78FC">
        <w:rPr>
          <w:szCs w:val="24"/>
          <w:lang w:val="hr-HR"/>
        </w:rPr>
        <w:t>whwther</w:t>
      </w:r>
      <w:proofErr w:type="spellEnd"/>
      <w:r w:rsidRPr="008C78FC">
        <w:rPr>
          <w:szCs w:val="24"/>
          <w:lang w:val="hr-HR"/>
        </w:rPr>
        <w:t xml:space="preserve"> </w:t>
      </w:r>
      <w:proofErr w:type="spellStart"/>
      <w:r w:rsidRPr="008C78FC">
        <w:rPr>
          <w:szCs w:val="24"/>
          <w:lang w:val="hr-HR"/>
        </w:rPr>
        <w:t>an</w:t>
      </w:r>
      <w:proofErr w:type="spellEnd"/>
      <w:r w:rsidRPr="008C78FC">
        <w:rPr>
          <w:szCs w:val="24"/>
          <w:lang w:val="hr-HR"/>
        </w:rPr>
        <w:t xml:space="preserve"> </w:t>
      </w:r>
      <w:proofErr w:type="spellStart"/>
      <w:r w:rsidRPr="008C78FC">
        <w:rPr>
          <w:szCs w:val="24"/>
          <w:lang w:val="hr-HR"/>
        </w:rPr>
        <w:t>agreement</w:t>
      </w:r>
      <w:proofErr w:type="spellEnd"/>
      <w:r w:rsidRPr="008C78FC">
        <w:rPr>
          <w:szCs w:val="24"/>
          <w:lang w:val="hr-HR"/>
        </w:rPr>
        <w:t xml:space="preserve"> </w:t>
      </w:r>
      <w:proofErr w:type="spellStart"/>
      <w:r w:rsidRPr="008C78FC">
        <w:rPr>
          <w:szCs w:val="24"/>
          <w:lang w:val="hr-HR"/>
        </w:rPr>
        <w:t>restricts</w:t>
      </w:r>
      <w:proofErr w:type="spellEnd"/>
      <w:r w:rsidRPr="008C78FC">
        <w:rPr>
          <w:szCs w:val="24"/>
          <w:lang w:val="hr-HR"/>
        </w:rPr>
        <w:t xml:space="preserve"> </w:t>
      </w:r>
      <w:proofErr w:type="spellStart"/>
      <w:r w:rsidRPr="008C78FC">
        <w:rPr>
          <w:szCs w:val="24"/>
          <w:lang w:val="hr-HR"/>
        </w:rPr>
        <w:t>competition</w:t>
      </w:r>
      <w:proofErr w:type="spellEnd"/>
      <w:r w:rsidRPr="008C78FC">
        <w:rPr>
          <w:szCs w:val="24"/>
          <w:lang w:val="hr-HR"/>
        </w:rPr>
        <w:t xml:space="preserve">: </w:t>
      </w:r>
      <w:proofErr w:type="spellStart"/>
      <w:r w:rsidRPr="008C78FC">
        <w:rPr>
          <w:szCs w:val="24"/>
          <w:lang w:val="hr-HR"/>
        </w:rPr>
        <w:t>comment</w:t>
      </w:r>
      <w:proofErr w:type="spellEnd"/>
      <w:r w:rsidRPr="008C78FC">
        <w:rPr>
          <w:szCs w:val="24"/>
          <w:lang w:val="hr-HR"/>
        </w:rPr>
        <w:t xml:space="preserve"> on Allianz </w:t>
      </w:r>
      <w:proofErr w:type="spellStart"/>
      <w:r w:rsidRPr="008C78FC">
        <w:rPr>
          <w:szCs w:val="24"/>
          <w:lang w:val="hr-HR"/>
        </w:rPr>
        <w:t>Hungaria</w:t>
      </w:r>
      <w:proofErr w:type="spellEnd"/>
      <w:r w:rsidRPr="008C78FC">
        <w:rPr>
          <w:szCs w:val="24"/>
          <w:lang w:val="hr-HR"/>
        </w:rPr>
        <w:t xml:space="preserve">’ [2013] </w:t>
      </w:r>
      <w:proofErr w:type="spellStart"/>
      <w:r w:rsidRPr="008C78FC">
        <w:rPr>
          <w:szCs w:val="24"/>
          <w:lang w:val="hr-HR"/>
        </w:rPr>
        <w:t>European</w:t>
      </w:r>
      <w:proofErr w:type="spellEnd"/>
      <w:r w:rsidRPr="008C78FC">
        <w:rPr>
          <w:szCs w:val="24"/>
          <w:lang w:val="hr-HR"/>
        </w:rPr>
        <w:t xml:space="preserve"> </w:t>
      </w:r>
      <w:proofErr w:type="spellStart"/>
      <w:r w:rsidRPr="008C78FC">
        <w:rPr>
          <w:szCs w:val="24"/>
          <w:lang w:val="hr-HR"/>
        </w:rPr>
        <w:t>law</w:t>
      </w:r>
      <w:proofErr w:type="spellEnd"/>
      <w:r w:rsidRPr="008C78FC">
        <w:rPr>
          <w:szCs w:val="24"/>
          <w:lang w:val="hr-HR"/>
        </w:rPr>
        <w:t xml:space="preserve"> </w:t>
      </w:r>
      <w:proofErr w:type="spellStart"/>
      <w:r w:rsidRPr="008C78FC">
        <w:rPr>
          <w:szCs w:val="24"/>
          <w:lang w:val="hr-HR"/>
        </w:rPr>
        <w:t>review</w:t>
      </w:r>
      <w:proofErr w:type="spellEnd"/>
      <w:r w:rsidRPr="008C78FC">
        <w:rPr>
          <w:szCs w:val="24"/>
          <w:lang w:val="hr-HR"/>
        </w:rPr>
        <w:t xml:space="preserve"> 38(4), 542-551</w:t>
      </w:r>
    </w:p>
    <w:p w:rsidR="00B0158D" w:rsidRPr="008C78FC" w:rsidRDefault="00B0158D" w:rsidP="00B0158D">
      <w:pPr>
        <w:pStyle w:val="Odlomakpopisa"/>
        <w:numPr>
          <w:ilvl w:val="0"/>
          <w:numId w:val="4"/>
        </w:numPr>
        <w:spacing w:after="200" w:line="480" w:lineRule="auto"/>
        <w:rPr>
          <w:szCs w:val="24"/>
          <w:lang w:val="hr-HR"/>
        </w:rPr>
      </w:pPr>
      <w:proofErr w:type="spellStart"/>
      <w:r w:rsidRPr="008C78FC">
        <w:rPr>
          <w:szCs w:val="24"/>
          <w:lang w:val="hr-HR"/>
        </w:rPr>
        <w:t>Pablo</w:t>
      </w:r>
      <w:proofErr w:type="spellEnd"/>
      <w:r w:rsidRPr="008C78FC">
        <w:rPr>
          <w:szCs w:val="24"/>
          <w:lang w:val="hr-HR"/>
        </w:rPr>
        <w:t xml:space="preserve"> </w:t>
      </w:r>
      <w:proofErr w:type="spellStart"/>
      <w:r w:rsidRPr="008C78FC">
        <w:rPr>
          <w:szCs w:val="24"/>
          <w:lang w:val="hr-HR"/>
        </w:rPr>
        <w:t>Ibanez</w:t>
      </w:r>
      <w:proofErr w:type="spellEnd"/>
      <w:r w:rsidRPr="008C78FC">
        <w:rPr>
          <w:szCs w:val="24"/>
          <w:lang w:val="hr-HR"/>
        </w:rPr>
        <w:t xml:space="preserve"> </w:t>
      </w:r>
      <w:proofErr w:type="spellStart"/>
      <w:r w:rsidRPr="008C78FC">
        <w:rPr>
          <w:szCs w:val="24"/>
          <w:lang w:val="hr-HR"/>
        </w:rPr>
        <w:t>Colomo</w:t>
      </w:r>
      <w:proofErr w:type="spellEnd"/>
      <w:r w:rsidRPr="008C78FC">
        <w:rPr>
          <w:szCs w:val="24"/>
          <w:lang w:val="hr-HR"/>
        </w:rPr>
        <w:t xml:space="preserve"> '</w:t>
      </w:r>
      <w:proofErr w:type="spellStart"/>
      <w:r w:rsidRPr="008C78FC">
        <w:rPr>
          <w:szCs w:val="24"/>
          <w:lang w:val="hr-HR"/>
        </w:rPr>
        <w:t>Market</w:t>
      </w:r>
      <w:proofErr w:type="spellEnd"/>
      <w:r w:rsidRPr="008C78FC">
        <w:rPr>
          <w:szCs w:val="24"/>
          <w:lang w:val="hr-HR"/>
        </w:rPr>
        <w:t xml:space="preserve"> </w:t>
      </w:r>
      <w:proofErr w:type="spellStart"/>
      <w:r w:rsidRPr="008C78FC">
        <w:rPr>
          <w:szCs w:val="24"/>
          <w:lang w:val="hr-HR"/>
        </w:rPr>
        <w:t>failures</w:t>
      </w:r>
      <w:proofErr w:type="spellEnd"/>
      <w:r w:rsidRPr="008C78FC">
        <w:rPr>
          <w:szCs w:val="24"/>
          <w:lang w:val="hr-HR"/>
        </w:rPr>
        <w:t xml:space="preserve">, </w:t>
      </w:r>
      <w:proofErr w:type="spellStart"/>
      <w:r w:rsidRPr="008C78FC">
        <w:rPr>
          <w:szCs w:val="24"/>
          <w:lang w:val="hr-HR"/>
        </w:rPr>
        <w:t>transaction</w:t>
      </w:r>
      <w:proofErr w:type="spellEnd"/>
      <w:r w:rsidRPr="008C78FC">
        <w:rPr>
          <w:szCs w:val="24"/>
          <w:lang w:val="hr-HR"/>
        </w:rPr>
        <w:t xml:space="preserve"> </w:t>
      </w:r>
      <w:proofErr w:type="spellStart"/>
      <w:r w:rsidRPr="008C78FC">
        <w:rPr>
          <w:szCs w:val="24"/>
          <w:lang w:val="hr-HR"/>
        </w:rPr>
        <w:t>costs</w:t>
      </w:r>
      <w:proofErr w:type="spellEnd"/>
      <w:r w:rsidRPr="008C78FC">
        <w:rPr>
          <w:szCs w:val="24"/>
          <w:lang w:val="hr-HR"/>
        </w:rPr>
        <w:t xml:space="preserve"> </w:t>
      </w:r>
      <w:proofErr w:type="spellStart"/>
      <w:r w:rsidRPr="008C78FC">
        <w:rPr>
          <w:szCs w:val="24"/>
          <w:lang w:val="hr-HR"/>
        </w:rPr>
        <w:t>and</w:t>
      </w:r>
      <w:proofErr w:type="spellEnd"/>
      <w:r w:rsidRPr="008C78FC">
        <w:rPr>
          <w:szCs w:val="24"/>
          <w:lang w:val="hr-HR"/>
        </w:rPr>
        <w:t xml:space="preserve"> </w:t>
      </w:r>
      <w:proofErr w:type="spellStart"/>
      <w:r w:rsidRPr="008C78FC">
        <w:rPr>
          <w:szCs w:val="24"/>
          <w:lang w:val="hr-HR"/>
        </w:rPr>
        <w:t>article</w:t>
      </w:r>
      <w:proofErr w:type="spellEnd"/>
      <w:r w:rsidRPr="008C78FC">
        <w:rPr>
          <w:szCs w:val="24"/>
          <w:lang w:val="hr-HR"/>
        </w:rPr>
        <w:t xml:space="preserve"> 101(1) </w:t>
      </w:r>
      <w:proofErr w:type="spellStart"/>
      <w:r w:rsidRPr="008C78FC">
        <w:rPr>
          <w:szCs w:val="24"/>
          <w:lang w:val="hr-HR"/>
        </w:rPr>
        <w:t>TFEU</w:t>
      </w:r>
      <w:proofErr w:type="spellEnd"/>
      <w:r w:rsidRPr="008C78FC">
        <w:rPr>
          <w:szCs w:val="24"/>
          <w:lang w:val="hr-HR"/>
        </w:rPr>
        <w:t xml:space="preserve"> </w:t>
      </w:r>
      <w:proofErr w:type="spellStart"/>
      <w:r w:rsidRPr="008C78FC">
        <w:rPr>
          <w:szCs w:val="24"/>
          <w:lang w:val="hr-HR"/>
        </w:rPr>
        <w:t>case</w:t>
      </w:r>
      <w:proofErr w:type="spellEnd"/>
      <w:r w:rsidRPr="008C78FC">
        <w:rPr>
          <w:szCs w:val="24"/>
          <w:lang w:val="hr-HR"/>
        </w:rPr>
        <w:t xml:space="preserve"> </w:t>
      </w:r>
      <w:proofErr w:type="spellStart"/>
      <w:r w:rsidRPr="008C78FC">
        <w:rPr>
          <w:szCs w:val="24"/>
          <w:lang w:val="hr-HR"/>
        </w:rPr>
        <w:t>law</w:t>
      </w:r>
      <w:proofErr w:type="spellEnd"/>
      <w:r w:rsidRPr="008C78FC">
        <w:rPr>
          <w:szCs w:val="24"/>
          <w:lang w:val="hr-HR"/>
        </w:rPr>
        <w:t xml:space="preserve">' </w:t>
      </w:r>
      <w:proofErr w:type="spellStart"/>
      <w:r w:rsidRPr="008C78FC">
        <w:rPr>
          <w:i/>
          <w:iCs/>
          <w:szCs w:val="24"/>
          <w:lang w:val="hr-HR"/>
        </w:rPr>
        <w:t>European</w:t>
      </w:r>
      <w:proofErr w:type="spellEnd"/>
      <w:r w:rsidRPr="008C78FC">
        <w:rPr>
          <w:i/>
          <w:iCs/>
          <w:szCs w:val="24"/>
          <w:lang w:val="hr-HR"/>
        </w:rPr>
        <w:t xml:space="preserve"> </w:t>
      </w:r>
      <w:proofErr w:type="spellStart"/>
      <w:r w:rsidRPr="008C78FC">
        <w:rPr>
          <w:i/>
          <w:iCs/>
          <w:szCs w:val="24"/>
          <w:lang w:val="hr-HR"/>
        </w:rPr>
        <w:t>Law</w:t>
      </w:r>
      <w:proofErr w:type="spellEnd"/>
      <w:r w:rsidRPr="008C78FC">
        <w:rPr>
          <w:i/>
          <w:iCs/>
          <w:szCs w:val="24"/>
          <w:lang w:val="hr-HR"/>
        </w:rPr>
        <w:t xml:space="preserve"> </w:t>
      </w:r>
      <w:proofErr w:type="spellStart"/>
      <w:r w:rsidRPr="008C78FC">
        <w:rPr>
          <w:i/>
          <w:iCs/>
          <w:szCs w:val="24"/>
          <w:lang w:val="hr-HR"/>
        </w:rPr>
        <w:t>Review</w:t>
      </w:r>
      <w:proofErr w:type="spellEnd"/>
      <w:r w:rsidRPr="008C78FC">
        <w:rPr>
          <w:szCs w:val="24"/>
          <w:lang w:val="hr-HR"/>
        </w:rPr>
        <w:t xml:space="preserve"> 2012, 37(5), 541-562.</w:t>
      </w:r>
    </w:p>
    <w:p w:rsidR="00B0158D" w:rsidRPr="008C78FC" w:rsidRDefault="00B0158D" w:rsidP="00B0158D">
      <w:pPr>
        <w:pStyle w:val="Odlomakpopisa"/>
        <w:numPr>
          <w:ilvl w:val="0"/>
          <w:numId w:val="4"/>
        </w:numPr>
        <w:spacing w:after="200" w:line="480" w:lineRule="auto"/>
        <w:rPr>
          <w:szCs w:val="24"/>
          <w:lang w:val="hr-HR"/>
        </w:rPr>
      </w:pPr>
      <w:proofErr w:type="spellStart"/>
      <w:r w:rsidRPr="008C78FC">
        <w:rPr>
          <w:szCs w:val="24"/>
          <w:lang w:val="hr-HR"/>
        </w:rPr>
        <w:t>Alison</w:t>
      </w:r>
      <w:proofErr w:type="spellEnd"/>
      <w:r w:rsidRPr="008C78FC">
        <w:rPr>
          <w:szCs w:val="24"/>
          <w:lang w:val="hr-HR"/>
        </w:rPr>
        <w:t xml:space="preserve"> </w:t>
      </w:r>
      <w:proofErr w:type="spellStart"/>
      <w:r w:rsidRPr="008C78FC">
        <w:rPr>
          <w:szCs w:val="24"/>
          <w:lang w:val="hr-HR"/>
        </w:rPr>
        <w:t>Jones</w:t>
      </w:r>
      <w:proofErr w:type="spellEnd"/>
      <w:r w:rsidRPr="008C78FC">
        <w:rPr>
          <w:szCs w:val="24"/>
          <w:lang w:val="hr-HR"/>
        </w:rPr>
        <w:t xml:space="preserve"> ‘</w:t>
      </w:r>
      <w:proofErr w:type="spellStart"/>
      <w:r w:rsidRPr="008C78FC">
        <w:rPr>
          <w:szCs w:val="24"/>
          <w:lang w:val="hr-HR"/>
        </w:rPr>
        <w:t>Left</w:t>
      </w:r>
      <w:proofErr w:type="spellEnd"/>
      <w:r w:rsidRPr="008C78FC">
        <w:rPr>
          <w:szCs w:val="24"/>
          <w:lang w:val="hr-HR"/>
        </w:rPr>
        <w:t xml:space="preserve"> </w:t>
      </w:r>
      <w:proofErr w:type="spellStart"/>
      <w:r w:rsidRPr="008C78FC">
        <w:rPr>
          <w:szCs w:val="24"/>
          <w:lang w:val="hr-HR"/>
        </w:rPr>
        <w:t>behind</w:t>
      </w:r>
      <w:proofErr w:type="spellEnd"/>
      <w:r w:rsidRPr="008C78FC">
        <w:rPr>
          <w:szCs w:val="24"/>
          <w:lang w:val="hr-HR"/>
        </w:rPr>
        <w:t xml:space="preserve"> </w:t>
      </w:r>
      <w:proofErr w:type="spellStart"/>
      <w:r w:rsidRPr="008C78FC">
        <w:rPr>
          <w:szCs w:val="24"/>
          <w:lang w:val="hr-HR"/>
        </w:rPr>
        <w:t>by</w:t>
      </w:r>
      <w:proofErr w:type="spellEnd"/>
      <w:r w:rsidRPr="008C78FC">
        <w:rPr>
          <w:szCs w:val="24"/>
          <w:lang w:val="hr-HR"/>
        </w:rPr>
        <w:t xml:space="preserve"> </w:t>
      </w:r>
      <w:proofErr w:type="spellStart"/>
      <w:r w:rsidRPr="008C78FC">
        <w:rPr>
          <w:szCs w:val="24"/>
          <w:lang w:val="hr-HR"/>
        </w:rPr>
        <w:t>modernization</w:t>
      </w:r>
      <w:proofErr w:type="spellEnd"/>
      <w:r w:rsidRPr="008C78FC">
        <w:rPr>
          <w:szCs w:val="24"/>
          <w:lang w:val="hr-HR"/>
        </w:rPr>
        <w:t xml:space="preserve">? </w:t>
      </w:r>
      <w:proofErr w:type="spellStart"/>
      <w:r w:rsidRPr="008C78FC">
        <w:rPr>
          <w:szCs w:val="24"/>
          <w:lang w:val="hr-HR"/>
        </w:rPr>
        <w:t>Restrictions</w:t>
      </w:r>
      <w:proofErr w:type="spellEnd"/>
      <w:r w:rsidRPr="008C78FC">
        <w:rPr>
          <w:szCs w:val="24"/>
          <w:lang w:val="hr-HR"/>
        </w:rPr>
        <w:t xml:space="preserve"> </w:t>
      </w:r>
      <w:proofErr w:type="spellStart"/>
      <w:r w:rsidRPr="008C78FC">
        <w:rPr>
          <w:szCs w:val="24"/>
          <w:lang w:val="hr-HR"/>
        </w:rPr>
        <w:t>by</w:t>
      </w:r>
      <w:proofErr w:type="spellEnd"/>
      <w:r w:rsidRPr="008C78FC">
        <w:rPr>
          <w:szCs w:val="24"/>
          <w:lang w:val="hr-HR"/>
        </w:rPr>
        <w:t xml:space="preserve"> </w:t>
      </w:r>
      <w:proofErr w:type="spellStart"/>
      <w:r w:rsidRPr="008C78FC">
        <w:rPr>
          <w:szCs w:val="24"/>
          <w:lang w:val="hr-HR"/>
        </w:rPr>
        <w:t>object</w:t>
      </w:r>
      <w:proofErr w:type="spellEnd"/>
      <w:r w:rsidRPr="008C78FC">
        <w:rPr>
          <w:szCs w:val="24"/>
          <w:lang w:val="hr-HR"/>
        </w:rPr>
        <w:t xml:space="preserve"> </w:t>
      </w:r>
      <w:proofErr w:type="spellStart"/>
      <w:r w:rsidRPr="008C78FC">
        <w:rPr>
          <w:szCs w:val="24"/>
          <w:lang w:val="hr-HR"/>
        </w:rPr>
        <w:t>under</w:t>
      </w:r>
      <w:proofErr w:type="spellEnd"/>
      <w:r w:rsidRPr="008C78FC">
        <w:rPr>
          <w:szCs w:val="24"/>
          <w:lang w:val="hr-HR"/>
        </w:rPr>
        <w:t xml:space="preserve"> </w:t>
      </w:r>
      <w:proofErr w:type="spellStart"/>
      <w:r w:rsidRPr="008C78FC">
        <w:rPr>
          <w:szCs w:val="24"/>
          <w:lang w:val="hr-HR"/>
        </w:rPr>
        <w:t>Article</w:t>
      </w:r>
      <w:proofErr w:type="spellEnd"/>
      <w:r w:rsidRPr="008C78FC">
        <w:rPr>
          <w:szCs w:val="24"/>
          <w:lang w:val="hr-HR"/>
        </w:rPr>
        <w:t xml:space="preserve"> 101(1)’ [2010] </w:t>
      </w:r>
      <w:proofErr w:type="spellStart"/>
      <w:r w:rsidRPr="008C78FC">
        <w:rPr>
          <w:szCs w:val="24"/>
          <w:lang w:val="hr-HR"/>
        </w:rPr>
        <w:t>European</w:t>
      </w:r>
      <w:proofErr w:type="spellEnd"/>
      <w:r w:rsidRPr="008C78FC">
        <w:rPr>
          <w:szCs w:val="24"/>
          <w:lang w:val="hr-HR"/>
        </w:rPr>
        <w:t xml:space="preserve"> </w:t>
      </w:r>
      <w:proofErr w:type="spellStart"/>
      <w:r w:rsidRPr="008C78FC">
        <w:rPr>
          <w:szCs w:val="24"/>
          <w:lang w:val="hr-HR"/>
        </w:rPr>
        <w:t>Competition</w:t>
      </w:r>
      <w:proofErr w:type="spellEnd"/>
      <w:r w:rsidRPr="008C78FC">
        <w:rPr>
          <w:szCs w:val="24"/>
          <w:lang w:val="hr-HR"/>
        </w:rPr>
        <w:t xml:space="preserve"> </w:t>
      </w:r>
      <w:proofErr w:type="spellStart"/>
      <w:r w:rsidRPr="008C78FC">
        <w:rPr>
          <w:szCs w:val="24"/>
          <w:lang w:val="hr-HR"/>
        </w:rPr>
        <w:t>Journal</w:t>
      </w:r>
      <w:proofErr w:type="spellEnd"/>
      <w:r w:rsidRPr="008C78FC">
        <w:rPr>
          <w:szCs w:val="24"/>
          <w:lang w:val="hr-HR"/>
        </w:rPr>
        <w:t xml:space="preserve"> 649 </w:t>
      </w:r>
    </w:p>
    <w:p w:rsidR="00B0158D" w:rsidRPr="008C78FC" w:rsidRDefault="00B0158D" w:rsidP="00B0158D">
      <w:pPr>
        <w:pStyle w:val="Odlomakpopisa"/>
        <w:numPr>
          <w:ilvl w:val="0"/>
          <w:numId w:val="4"/>
        </w:numPr>
        <w:spacing w:after="200" w:line="480" w:lineRule="auto"/>
        <w:rPr>
          <w:szCs w:val="24"/>
          <w:lang w:val="hr-HR"/>
        </w:rPr>
      </w:pPr>
      <w:proofErr w:type="spellStart"/>
      <w:r w:rsidRPr="008C78FC">
        <w:rPr>
          <w:szCs w:val="24"/>
          <w:lang w:val="hr-HR"/>
        </w:rPr>
        <w:t>Saskia</w:t>
      </w:r>
      <w:proofErr w:type="spellEnd"/>
      <w:r w:rsidRPr="008C78FC">
        <w:rPr>
          <w:szCs w:val="24"/>
          <w:lang w:val="hr-HR"/>
        </w:rPr>
        <w:t xml:space="preserve"> King ‘</w:t>
      </w:r>
      <w:proofErr w:type="spellStart"/>
      <w:r w:rsidRPr="008C78FC">
        <w:rPr>
          <w:szCs w:val="24"/>
          <w:lang w:val="hr-HR"/>
        </w:rPr>
        <w:t>The</w:t>
      </w:r>
      <w:proofErr w:type="spellEnd"/>
      <w:r w:rsidRPr="008C78FC">
        <w:rPr>
          <w:szCs w:val="24"/>
          <w:lang w:val="hr-HR"/>
        </w:rPr>
        <w:t xml:space="preserve"> </w:t>
      </w:r>
      <w:proofErr w:type="spellStart"/>
      <w:r w:rsidRPr="008C78FC">
        <w:rPr>
          <w:szCs w:val="24"/>
          <w:lang w:val="hr-HR"/>
        </w:rPr>
        <w:t>object</w:t>
      </w:r>
      <w:proofErr w:type="spellEnd"/>
      <w:r w:rsidRPr="008C78FC">
        <w:rPr>
          <w:szCs w:val="24"/>
          <w:lang w:val="hr-HR"/>
        </w:rPr>
        <w:t xml:space="preserve"> box: </w:t>
      </w:r>
      <w:proofErr w:type="spellStart"/>
      <w:r w:rsidRPr="008C78FC">
        <w:rPr>
          <w:szCs w:val="24"/>
          <w:lang w:val="hr-HR"/>
        </w:rPr>
        <w:t>law</w:t>
      </w:r>
      <w:proofErr w:type="spellEnd"/>
      <w:r w:rsidRPr="008C78FC">
        <w:rPr>
          <w:szCs w:val="24"/>
          <w:lang w:val="hr-HR"/>
        </w:rPr>
        <w:t xml:space="preserve">, </w:t>
      </w:r>
      <w:proofErr w:type="spellStart"/>
      <w:r w:rsidRPr="008C78FC">
        <w:rPr>
          <w:szCs w:val="24"/>
          <w:lang w:val="hr-HR"/>
        </w:rPr>
        <w:t>policy</w:t>
      </w:r>
      <w:proofErr w:type="spellEnd"/>
      <w:r w:rsidRPr="008C78FC">
        <w:rPr>
          <w:szCs w:val="24"/>
          <w:lang w:val="hr-HR"/>
        </w:rPr>
        <w:t xml:space="preserve"> or </w:t>
      </w:r>
      <w:proofErr w:type="spellStart"/>
      <w:r w:rsidRPr="008C78FC">
        <w:rPr>
          <w:szCs w:val="24"/>
          <w:lang w:val="hr-HR"/>
        </w:rPr>
        <w:t>myth</w:t>
      </w:r>
      <w:proofErr w:type="spellEnd"/>
      <w:r w:rsidRPr="008C78FC">
        <w:rPr>
          <w:szCs w:val="24"/>
          <w:lang w:val="hr-HR"/>
        </w:rPr>
        <w:t xml:space="preserve">?’[2011] </w:t>
      </w:r>
      <w:proofErr w:type="spellStart"/>
      <w:r w:rsidRPr="008C78FC">
        <w:rPr>
          <w:szCs w:val="24"/>
          <w:lang w:val="hr-HR"/>
        </w:rPr>
        <w:t>European</w:t>
      </w:r>
      <w:proofErr w:type="spellEnd"/>
      <w:r w:rsidRPr="008C78FC">
        <w:rPr>
          <w:szCs w:val="24"/>
          <w:lang w:val="hr-HR"/>
        </w:rPr>
        <w:t xml:space="preserve"> </w:t>
      </w:r>
      <w:proofErr w:type="spellStart"/>
      <w:r w:rsidRPr="008C78FC">
        <w:rPr>
          <w:szCs w:val="24"/>
          <w:lang w:val="hr-HR"/>
        </w:rPr>
        <w:t>Competition</w:t>
      </w:r>
      <w:proofErr w:type="spellEnd"/>
      <w:r w:rsidRPr="008C78FC">
        <w:rPr>
          <w:szCs w:val="24"/>
          <w:lang w:val="hr-HR"/>
        </w:rPr>
        <w:t xml:space="preserve"> </w:t>
      </w:r>
      <w:proofErr w:type="spellStart"/>
      <w:r w:rsidRPr="008C78FC">
        <w:rPr>
          <w:szCs w:val="24"/>
          <w:lang w:val="hr-HR"/>
        </w:rPr>
        <w:t>Journal</w:t>
      </w:r>
      <w:proofErr w:type="spellEnd"/>
      <w:r w:rsidRPr="008C78FC">
        <w:rPr>
          <w:szCs w:val="24"/>
          <w:lang w:val="hr-HR"/>
        </w:rPr>
        <w:t xml:space="preserve"> 269</w:t>
      </w:r>
    </w:p>
    <w:p w:rsidR="00B0158D" w:rsidRPr="008C78FC" w:rsidRDefault="00B0158D" w:rsidP="00B0158D">
      <w:pPr>
        <w:pStyle w:val="Odlomakpopisa"/>
        <w:numPr>
          <w:ilvl w:val="0"/>
          <w:numId w:val="4"/>
        </w:numPr>
        <w:spacing w:after="200" w:line="480" w:lineRule="auto"/>
        <w:rPr>
          <w:szCs w:val="24"/>
          <w:lang w:val="hr-HR"/>
        </w:rPr>
      </w:pPr>
      <w:proofErr w:type="spellStart"/>
      <w:r w:rsidRPr="008C78FC">
        <w:rPr>
          <w:szCs w:val="24"/>
          <w:lang w:val="hr-HR"/>
        </w:rPr>
        <w:t>Munesh</w:t>
      </w:r>
      <w:proofErr w:type="spellEnd"/>
      <w:r w:rsidRPr="008C78FC">
        <w:rPr>
          <w:szCs w:val="24"/>
          <w:lang w:val="hr-HR"/>
        </w:rPr>
        <w:t xml:space="preserve"> </w:t>
      </w:r>
      <w:proofErr w:type="spellStart"/>
      <w:r w:rsidRPr="008C78FC">
        <w:rPr>
          <w:szCs w:val="24"/>
          <w:lang w:val="hr-HR"/>
        </w:rPr>
        <w:t>Ram</w:t>
      </w:r>
      <w:proofErr w:type="spellEnd"/>
      <w:r w:rsidRPr="008C78FC">
        <w:rPr>
          <w:szCs w:val="24"/>
          <w:lang w:val="hr-HR"/>
        </w:rPr>
        <w:t xml:space="preserve"> </w:t>
      </w:r>
      <w:proofErr w:type="spellStart"/>
      <w:r w:rsidRPr="008C78FC">
        <w:rPr>
          <w:szCs w:val="24"/>
          <w:lang w:val="hr-HR"/>
        </w:rPr>
        <w:t>Mahtani</w:t>
      </w:r>
      <w:proofErr w:type="spellEnd"/>
      <w:r w:rsidRPr="008C78FC">
        <w:rPr>
          <w:szCs w:val="24"/>
          <w:lang w:val="hr-HR"/>
        </w:rPr>
        <w:t xml:space="preserve"> ‘</w:t>
      </w:r>
      <w:proofErr w:type="spellStart"/>
      <w:r w:rsidRPr="008C78FC">
        <w:rPr>
          <w:szCs w:val="24"/>
          <w:lang w:val="hr-HR"/>
        </w:rPr>
        <w:t>Thinking</w:t>
      </w:r>
      <w:proofErr w:type="spellEnd"/>
      <w:r w:rsidRPr="008C78FC">
        <w:rPr>
          <w:szCs w:val="24"/>
          <w:lang w:val="hr-HR"/>
        </w:rPr>
        <w:t xml:space="preserve"> </w:t>
      </w:r>
      <w:proofErr w:type="spellStart"/>
      <w:r w:rsidRPr="008C78FC">
        <w:rPr>
          <w:szCs w:val="24"/>
          <w:lang w:val="hr-HR"/>
        </w:rPr>
        <w:t>outside</w:t>
      </w:r>
      <w:proofErr w:type="spellEnd"/>
      <w:r w:rsidRPr="008C78FC">
        <w:rPr>
          <w:szCs w:val="24"/>
          <w:lang w:val="hr-HR"/>
        </w:rPr>
        <w:t xml:space="preserve"> </w:t>
      </w:r>
      <w:proofErr w:type="spellStart"/>
      <w:r w:rsidRPr="008C78FC">
        <w:rPr>
          <w:szCs w:val="24"/>
          <w:lang w:val="hr-HR"/>
        </w:rPr>
        <w:t>the</w:t>
      </w:r>
      <w:proofErr w:type="spellEnd"/>
      <w:r w:rsidRPr="008C78FC">
        <w:rPr>
          <w:szCs w:val="24"/>
          <w:lang w:val="hr-HR"/>
        </w:rPr>
        <w:t xml:space="preserve"> </w:t>
      </w:r>
      <w:proofErr w:type="spellStart"/>
      <w:r w:rsidRPr="008C78FC">
        <w:rPr>
          <w:szCs w:val="24"/>
          <w:lang w:val="hr-HR"/>
        </w:rPr>
        <w:t>object</w:t>
      </w:r>
      <w:proofErr w:type="spellEnd"/>
      <w:r w:rsidRPr="008C78FC">
        <w:rPr>
          <w:szCs w:val="24"/>
          <w:lang w:val="hr-HR"/>
        </w:rPr>
        <w:t xml:space="preserve"> box: </w:t>
      </w:r>
      <w:proofErr w:type="spellStart"/>
      <w:r w:rsidRPr="008C78FC">
        <w:rPr>
          <w:szCs w:val="24"/>
          <w:lang w:val="hr-HR"/>
        </w:rPr>
        <w:t>An</w:t>
      </w:r>
      <w:proofErr w:type="spellEnd"/>
      <w:r w:rsidRPr="008C78FC">
        <w:rPr>
          <w:szCs w:val="24"/>
          <w:lang w:val="hr-HR"/>
        </w:rPr>
        <w:t xml:space="preserve"> EU </w:t>
      </w:r>
      <w:proofErr w:type="spellStart"/>
      <w:r w:rsidRPr="008C78FC">
        <w:rPr>
          <w:szCs w:val="24"/>
          <w:lang w:val="hr-HR"/>
        </w:rPr>
        <w:t>and</w:t>
      </w:r>
      <w:proofErr w:type="spellEnd"/>
      <w:r w:rsidRPr="008C78FC">
        <w:rPr>
          <w:szCs w:val="24"/>
          <w:lang w:val="hr-HR"/>
        </w:rPr>
        <w:t xml:space="preserve"> UK </w:t>
      </w:r>
      <w:proofErr w:type="spellStart"/>
      <w:r w:rsidRPr="008C78FC">
        <w:rPr>
          <w:szCs w:val="24"/>
          <w:lang w:val="hr-HR"/>
        </w:rPr>
        <w:t>perspective</w:t>
      </w:r>
      <w:proofErr w:type="spellEnd"/>
      <w:r w:rsidRPr="008C78FC">
        <w:rPr>
          <w:szCs w:val="24"/>
          <w:lang w:val="hr-HR"/>
        </w:rPr>
        <w:t xml:space="preserve">’ [2012] </w:t>
      </w:r>
      <w:proofErr w:type="spellStart"/>
      <w:r w:rsidRPr="008C78FC">
        <w:rPr>
          <w:szCs w:val="24"/>
          <w:lang w:val="hr-HR"/>
        </w:rPr>
        <w:t>European</w:t>
      </w:r>
      <w:proofErr w:type="spellEnd"/>
      <w:r w:rsidRPr="008C78FC">
        <w:rPr>
          <w:szCs w:val="24"/>
          <w:lang w:val="hr-HR"/>
        </w:rPr>
        <w:t xml:space="preserve"> </w:t>
      </w:r>
      <w:proofErr w:type="spellStart"/>
      <w:r w:rsidRPr="008C78FC">
        <w:rPr>
          <w:szCs w:val="24"/>
          <w:lang w:val="hr-HR"/>
        </w:rPr>
        <w:t>Competition</w:t>
      </w:r>
      <w:proofErr w:type="spellEnd"/>
      <w:r w:rsidRPr="008C78FC">
        <w:rPr>
          <w:szCs w:val="24"/>
          <w:lang w:val="hr-HR"/>
        </w:rPr>
        <w:t xml:space="preserve"> </w:t>
      </w:r>
      <w:proofErr w:type="spellStart"/>
      <w:r w:rsidRPr="008C78FC">
        <w:rPr>
          <w:szCs w:val="24"/>
          <w:lang w:val="hr-HR"/>
        </w:rPr>
        <w:t>Journal</w:t>
      </w:r>
      <w:proofErr w:type="spellEnd"/>
    </w:p>
    <w:p w:rsidR="00B0158D" w:rsidRPr="008C78FC" w:rsidRDefault="00B0158D" w:rsidP="00B0158D">
      <w:pPr>
        <w:pStyle w:val="Odlomakpopisa"/>
        <w:numPr>
          <w:ilvl w:val="0"/>
          <w:numId w:val="4"/>
        </w:numPr>
        <w:spacing w:after="200" w:line="480" w:lineRule="auto"/>
        <w:rPr>
          <w:szCs w:val="24"/>
          <w:lang w:val="hr-HR"/>
        </w:rPr>
      </w:pPr>
      <w:proofErr w:type="spellStart"/>
      <w:r w:rsidRPr="008C78FC">
        <w:rPr>
          <w:szCs w:val="24"/>
          <w:lang w:val="hr-HR"/>
        </w:rPr>
        <w:t>Giorgio</w:t>
      </w:r>
      <w:proofErr w:type="spellEnd"/>
      <w:r w:rsidRPr="008C78FC">
        <w:rPr>
          <w:szCs w:val="24"/>
          <w:lang w:val="hr-HR"/>
        </w:rPr>
        <w:t xml:space="preserve"> </w:t>
      </w:r>
      <w:proofErr w:type="spellStart"/>
      <w:r w:rsidRPr="008C78FC">
        <w:rPr>
          <w:rStyle w:val="Naglaeno"/>
          <w:b w:val="0"/>
          <w:szCs w:val="24"/>
          <w:lang w:val="hr-HR"/>
        </w:rPr>
        <w:t>Monti</w:t>
      </w:r>
      <w:proofErr w:type="spellEnd"/>
      <w:r w:rsidRPr="008C78FC">
        <w:rPr>
          <w:b/>
          <w:szCs w:val="24"/>
          <w:lang w:val="hr-HR"/>
        </w:rPr>
        <w:t>,</w:t>
      </w:r>
      <w:r w:rsidRPr="008C78FC">
        <w:rPr>
          <w:szCs w:val="24"/>
          <w:lang w:val="hr-HR"/>
        </w:rPr>
        <w:t xml:space="preserve"> '</w:t>
      </w:r>
      <w:proofErr w:type="spellStart"/>
      <w:r w:rsidRPr="008C78FC">
        <w:rPr>
          <w:szCs w:val="24"/>
          <w:lang w:val="hr-HR"/>
        </w:rPr>
        <w:t>Restraints</w:t>
      </w:r>
      <w:proofErr w:type="spellEnd"/>
      <w:r w:rsidRPr="008C78FC">
        <w:rPr>
          <w:szCs w:val="24"/>
          <w:lang w:val="hr-HR"/>
        </w:rPr>
        <w:t xml:space="preserve"> on </w:t>
      </w:r>
      <w:proofErr w:type="spellStart"/>
      <w:r w:rsidRPr="008C78FC">
        <w:rPr>
          <w:szCs w:val="24"/>
          <w:lang w:val="hr-HR"/>
        </w:rPr>
        <w:t>Selective</w:t>
      </w:r>
      <w:proofErr w:type="spellEnd"/>
      <w:r w:rsidRPr="008C78FC">
        <w:rPr>
          <w:szCs w:val="24"/>
          <w:lang w:val="hr-HR"/>
        </w:rPr>
        <w:t xml:space="preserve"> </w:t>
      </w:r>
      <w:proofErr w:type="spellStart"/>
      <w:r w:rsidRPr="008C78FC">
        <w:rPr>
          <w:szCs w:val="24"/>
          <w:lang w:val="hr-HR"/>
        </w:rPr>
        <w:t>Distribution</w:t>
      </w:r>
      <w:proofErr w:type="spellEnd"/>
      <w:r w:rsidRPr="008C78FC">
        <w:rPr>
          <w:szCs w:val="24"/>
          <w:lang w:val="hr-HR"/>
        </w:rPr>
        <w:t xml:space="preserve"> </w:t>
      </w:r>
      <w:proofErr w:type="spellStart"/>
      <w:r w:rsidRPr="008C78FC">
        <w:rPr>
          <w:szCs w:val="24"/>
          <w:lang w:val="hr-HR"/>
        </w:rPr>
        <w:t>Agreements</w:t>
      </w:r>
      <w:proofErr w:type="spellEnd"/>
      <w:r w:rsidRPr="008C78FC">
        <w:rPr>
          <w:szCs w:val="24"/>
          <w:lang w:val="hr-HR"/>
        </w:rPr>
        <w:t xml:space="preserve">' (2013) 36 </w:t>
      </w:r>
      <w:r w:rsidRPr="008C78FC">
        <w:rPr>
          <w:i/>
          <w:iCs/>
          <w:szCs w:val="24"/>
          <w:lang w:val="hr-HR"/>
        </w:rPr>
        <w:t xml:space="preserve">World </w:t>
      </w:r>
      <w:proofErr w:type="spellStart"/>
      <w:r w:rsidRPr="008C78FC">
        <w:rPr>
          <w:i/>
          <w:iCs/>
          <w:szCs w:val="24"/>
          <w:lang w:val="hr-HR"/>
        </w:rPr>
        <w:t>Competition</w:t>
      </w:r>
      <w:proofErr w:type="spellEnd"/>
      <w:r w:rsidRPr="008C78FC">
        <w:rPr>
          <w:szCs w:val="24"/>
          <w:lang w:val="hr-HR"/>
        </w:rPr>
        <w:t xml:space="preserve">, </w:t>
      </w:r>
      <w:proofErr w:type="spellStart"/>
      <w:r w:rsidRPr="008C78FC">
        <w:rPr>
          <w:szCs w:val="24"/>
          <w:lang w:val="hr-HR"/>
        </w:rPr>
        <w:t>Issue</w:t>
      </w:r>
      <w:proofErr w:type="spellEnd"/>
      <w:r w:rsidRPr="008C78FC">
        <w:rPr>
          <w:szCs w:val="24"/>
          <w:lang w:val="hr-HR"/>
        </w:rPr>
        <w:t xml:space="preserve"> 4, </w:t>
      </w:r>
      <w:proofErr w:type="spellStart"/>
      <w:r w:rsidRPr="008C78FC">
        <w:rPr>
          <w:szCs w:val="24"/>
          <w:lang w:val="hr-HR"/>
        </w:rPr>
        <w:t>pp</w:t>
      </w:r>
      <w:proofErr w:type="spellEnd"/>
      <w:r w:rsidRPr="008C78FC">
        <w:rPr>
          <w:szCs w:val="24"/>
          <w:lang w:val="hr-HR"/>
        </w:rPr>
        <w:t>. 489–511</w:t>
      </w:r>
    </w:p>
    <w:p w:rsidR="00B0158D" w:rsidRPr="008C78FC" w:rsidRDefault="00B0158D" w:rsidP="00B0158D">
      <w:pPr>
        <w:pStyle w:val="Odlomakpopisa"/>
        <w:numPr>
          <w:ilvl w:val="0"/>
          <w:numId w:val="4"/>
        </w:numPr>
        <w:spacing w:after="200" w:line="480" w:lineRule="auto"/>
        <w:rPr>
          <w:szCs w:val="24"/>
          <w:lang w:val="hr-HR"/>
        </w:rPr>
      </w:pPr>
      <w:proofErr w:type="spellStart"/>
      <w:r w:rsidRPr="008C78FC">
        <w:rPr>
          <w:szCs w:val="24"/>
          <w:lang w:val="hr-HR"/>
        </w:rPr>
        <w:t>OkeogheneOdudu</w:t>
      </w:r>
      <w:proofErr w:type="spellEnd"/>
      <w:r w:rsidRPr="008C78FC">
        <w:rPr>
          <w:szCs w:val="24"/>
          <w:lang w:val="hr-HR"/>
        </w:rPr>
        <w:t>, ‘</w:t>
      </w:r>
      <w:proofErr w:type="spellStart"/>
      <w:r w:rsidRPr="008C78FC">
        <w:rPr>
          <w:szCs w:val="24"/>
          <w:lang w:val="hr-HR"/>
        </w:rPr>
        <w:t>Interpreting</w:t>
      </w:r>
      <w:proofErr w:type="spellEnd"/>
      <w:r w:rsidRPr="008C78FC">
        <w:rPr>
          <w:szCs w:val="24"/>
          <w:lang w:val="hr-HR"/>
        </w:rPr>
        <w:t xml:space="preserve"> </w:t>
      </w:r>
      <w:proofErr w:type="spellStart"/>
      <w:r w:rsidRPr="008C78FC">
        <w:rPr>
          <w:szCs w:val="24"/>
          <w:lang w:val="hr-HR"/>
        </w:rPr>
        <w:t>Article</w:t>
      </w:r>
      <w:proofErr w:type="spellEnd"/>
      <w:r w:rsidRPr="008C78FC">
        <w:rPr>
          <w:szCs w:val="24"/>
          <w:lang w:val="hr-HR"/>
        </w:rPr>
        <w:t xml:space="preserve"> 81(1): </w:t>
      </w:r>
      <w:proofErr w:type="spellStart"/>
      <w:r w:rsidRPr="008C78FC">
        <w:rPr>
          <w:szCs w:val="24"/>
          <w:lang w:val="hr-HR"/>
        </w:rPr>
        <w:t>Object</w:t>
      </w:r>
      <w:proofErr w:type="spellEnd"/>
      <w:r w:rsidRPr="008C78FC">
        <w:rPr>
          <w:szCs w:val="24"/>
          <w:lang w:val="hr-HR"/>
        </w:rPr>
        <w:t xml:space="preserve"> as </w:t>
      </w:r>
      <w:proofErr w:type="spellStart"/>
      <w:r w:rsidRPr="008C78FC">
        <w:rPr>
          <w:szCs w:val="24"/>
          <w:lang w:val="hr-HR"/>
        </w:rPr>
        <w:t>Subjective</w:t>
      </w:r>
      <w:proofErr w:type="spellEnd"/>
      <w:r w:rsidRPr="008C78FC">
        <w:rPr>
          <w:szCs w:val="24"/>
          <w:lang w:val="hr-HR"/>
        </w:rPr>
        <w:t xml:space="preserve"> </w:t>
      </w:r>
      <w:proofErr w:type="spellStart"/>
      <w:r w:rsidRPr="008C78FC">
        <w:rPr>
          <w:szCs w:val="24"/>
          <w:lang w:val="hr-HR"/>
        </w:rPr>
        <w:t>Intention</w:t>
      </w:r>
      <w:proofErr w:type="spellEnd"/>
      <w:r w:rsidRPr="008C78FC">
        <w:rPr>
          <w:szCs w:val="24"/>
          <w:lang w:val="hr-HR"/>
        </w:rPr>
        <w:t xml:space="preserve">’(2001) 26 </w:t>
      </w:r>
      <w:proofErr w:type="spellStart"/>
      <w:r w:rsidRPr="008C78FC">
        <w:rPr>
          <w:szCs w:val="24"/>
          <w:lang w:val="hr-HR"/>
        </w:rPr>
        <w:t>European</w:t>
      </w:r>
      <w:proofErr w:type="spellEnd"/>
      <w:r w:rsidRPr="008C78FC">
        <w:rPr>
          <w:szCs w:val="24"/>
          <w:lang w:val="hr-HR"/>
        </w:rPr>
        <w:t xml:space="preserve"> </w:t>
      </w:r>
      <w:proofErr w:type="spellStart"/>
      <w:r w:rsidRPr="008C78FC">
        <w:rPr>
          <w:szCs w:val="24"/>
          <w:lang w:val="hr-HR"/>
        </w:rPr>
        <w:t>Law</w:t>
      </w:r>
      <w:proofErr w:type="spellEnd"/>
      <w:r w:rsidRPr="008C78FC">
        <w:rPr>
          <w:szCs w:val="24"/>
          <w:lang w:val="hr-HR"/>
        </w:rPr>
        <w:t xml:space="preserve"> </w:t>
      </w:r>
      <w:proofErr w:type="spellStart"/>
      <w:r w:rsidRPr="008C78FC">
        <w:rPr>
          <w:szCs w:val="24"/>
          <w:lang w:val="hr-HR"/>
        </w:rPr>
        <w:t>Review</w:t>
      </w:r>
      <w:proofErr w:type="spellEnd"/>
      <w:r w:rsidRPr="008C78FC">
        <w:rPr>
          <w:szCs w:val="24"/>
          <w:lang w:val="hr-HR"/>
        </w:rPr>
        <w:t xml:space="preserve"> 60-75.</w:t>
      </w:r>
    </w:p>
    <w:p w:rsidR="00B0158D" w:rsidRPr="008C78FC" w:rsidRDefault="00B0158D" w:rsidP="00D6304A">
      <w:pPr>
        <w:pStyle w:val="Odlomakpopisa"/>
        <w:numPr>
          <w:ilvl w:val="0"/>
          <w:numId w:val="4"/>
        </w:numPr>
        <w:spacing w:after="200" w:line="480" w:lineRule="auto"/>
        <w:rPr>
          <w:szCs w:val="24"/>
          <w:lang w:val="hr-HR"/>
        </w:rPr>
      </w:pPr>
      <w:r w:rsidRPr="008C78FC">
        <w:rPr>
          <w:szCs w:val="24"/>
          <w:lang w:val="hr-HR"/>
        </w:rPr>
        <w:t>‘</w:t>
      </w:r>
      <w:proofErr w:type="spellStart"/>
      <w:r w:rsidRPr="008C78FC">
        <w:rPr>
          <w:szCs w:val="24"/>
          <w:lang w:val="hr-HR"/>
        </w:rPr>
        <w:t>Interpreting</w:t>
      </w:r>
      <w:proofErr w:type="spellEnd"/>
      <w:r w:rsidRPr="008C78FC">
        <w:rPr>
          <w:szCs w:val="24"/>
          <w:lang w:val="hr-HR"/>
        </w:rPr>
        <w:t xml:space="preserve"> </w:t>
      </w:r>
      <w:proofErr w:type="spellStart"/>
      <w:r w:rsidRPr="008C78FC">
        <w:rPr>
          <w:szCs w:val="24"/>
          <w:lang w:val="hr-HR"/>
        </w:rPr>
        <w:t>Article</w:t>
      </w:r>
      <w:proofErr w:type="spellEnd"/>
      <w:r w:rsidRPr="008C78FC">
        <w:rPr>
          <w:szCs w:val="24"/>
          <w:lang w:val="hr-HR"/>
        </w:rPr>
        <w:t xml:space="preserve"> 81(1): </w:t>
      </w:r>
      <w:proofErr w:type="spellStart"/>
      <w:r w:rsidRPr="008C78FC">
        <w:rPr>
          <w:szCs w:val="24"/>
          <w:lang w:val="hr-HR"/>
        </w:rPr>
        <w:t>Demonstrating</w:t>
      </w:r>
      <w:proofErr w:type="spellEnd"/>
      <w:r w:rsidRPr="008C78FC">
        <w:rPr>
          <w:szCs w:val="24"/>
          <w:lang w:val="hr-HR"/>
        </w:rPr>
        <w:t xml:space="preserve"> </w:t>
      </w:r>
      <w:proofErr w:type="spellStart"/>
      <w:r w:rsidRPr="008C78FC">
        <w:rPr>
          <w:szCs w:val="24"/>
          <w:lang w:val="hr-HR"/>
        </w:rPr>
        <w:t>Restrictive</w:t>
      </w:r>
      <w:proofErr w:type="spellEnd"/>
      <w:r w:rsidRPr="008C78FC">
        <w:rPr>
          <w:szCs w:val="24"/>
          <w:lang w:val="hr-HR"/>
        </w:rPr>
        <w:t xml:space="preserve"> </w:t>
      </w:r>
      <w:proofErr w:type="spellStart"/>
      <w:r w:rsidRPr="008C78FC">
        <w:rPr>
          <w:szCs w:val="24"/>
          <w:lang w:val="hr-HR"/>
        </w:rPr>
        <w:t>Effect</w:t>
      </w:r>
      <w:proofErr w:type="spellEnd"/>
      <w:r w:rsidRPr="008C78FC">
        <w:rPr>
          <w:szCs w:val="24"/>
          <w:lang w:val="hr-HR"/>
        </w:rPr>
        <w:t xml:space="preserve">’ (2001) 26 </w:t>
      </w:r>
      <w:proofErr w:type="spellStart"/>
      <w:r w:rsidRPr="008C78FC">
        <w:rPr>
          <w:szCs w:val="24"/>
          <w:lang w:val="hr-HR"/>
        </w:rPr>
        <w:t>European</w:t>
      </w:r>
      <w:proofErr w:type="spellEnd"/>
      <w:r w:rsidRPr="008C78FC">
        <w:rPr>
          <w:szCs w:val="24"/>
          <w:lang w:val="hr-HR"/>
        </w:rPr>
        <w:t xml:space="preserve"> </w:t>
      </w:r>
      <w:proofErr w:type="spellStart"/>
      <w:r w:rsidRPr="008C78FC">
        <w:rPr>
          <w:szCs w:val="24"/>
          <w:lang w:val="hr-HR"/>
        </w:rPr>
        <w:t>Law</w:t>
      </w:r>
      <w:proofErr w:type="spellEnd"/>
      <w:r w:rsidRPr="008C78FC">
        <w:rPr>
          <w:szCs w:val="24"/>
          <w:lang w:val="hr-HR"/>
        </w:rPr>
        <w:t xml:space="preserve"> </w:t>
      </w:r>
      <w:proofErr w:type="spellStart"/>
      <w:r w:rsidRPr="008C78FC">
        <w:rPr>
          <w:szCs w:val="24"/>
          <w:lang w:val="hr-HR"/>
        </w:rPr>
        <w:t>Review</w:t>
      </w:r>
      <w:proofErr w:type="spellEnd"/>
      <w:r w:rsidRPr="008C78FC">
        <w:rPr>
          <w:szCs w:val="24"/>
          <w:lang w:val="hr-HR"/>
        </w:rPr>
        <w:t xml:space="preserve"> 261-274.</w:t>
      </w:r>
    </w:p>
    <w:p w:rsidR="00B0158D" w:rsidRPr="008C78FC" w:rsidRDefault="00B0158D" w:rsidP="00D6304A">
      <w:pPr>
        <w:pStyle w:val="Odlomakpopisa"/>
        <w:numPr>
          <w:ilvl w:val="0"/>
          <w:numId w:val="4"/>
        </w:numPr>
        <w:spacing w:after="200" w:line="480" w:lineRule="auto"/>
        <w:rPr>
          <w:szCs w:val="24"/>
          <w:lang w:val="hr-HR"/>
        </w:rPr>
      </w:pPr>
      <w:r w:rsidRPr="008C78FC">
        <w:rPr>
          <w:szCs w:val="24"/>
          <w:lang w:val="hr-HR"/>
        </w:rPr>
        <w:t>‘</w:t>
      </w:r>
      <w:proofErr w:type="spellStart"/>
      <w:r w:rsidRPr="008C78FC">
        <w:rPr>
          <w:szCs w:val="24"/>
          <w:lang w:val="hr-HR"/>
        </w:rPr>
        <w:t>Interpreting</w:t>
      </w:r>
      <w:proofErr w:type="spellEnd"/>
      <w:r w:rsidRPr="008C78FC">
        <w:rPr>
          <w:szCs w:val="24"/>
          <w:lang w:val="hr-HR"/>
        </w:rPr>
        <w:t xml:space="preserve"> </w:t>
      </w:r>
      <w:proofErr w:type="spellStart"/>
      <w:r w:rsidRPr="008C78FC">
        <w:rPr>
          <w:szCs w:val="24"/>
          <w:lang w:val="hr-HR"/>
        </w:rPr>
        <w:t>Article</w:t>
      </w:r>
      <w:proofErr w:type="spellEnd"/>
      <w:r w:rsidRPr="008C78FC">
        <w:rPr>
          <w:szCs w:val="24"/>
          <w:lang w:val="hr-HR"/>
        </w:rPr>
        <w:t xml:space="preserve"> 81(1): </w:t>
      </w:r>
      <w:proofErr w:type="spellStart"/>
      <w:r w:rsidRPr="008C78FC">
        <w:rPr>
          <w:szCs w:val="24"/>
          <w:lang w:val="hr-HR"/>
        </w:rPr>
        <w:t>The</w:t>
      </w:r>
      <w:proofErr w:type="spellEnd"/>
      <w:r w:rsidRPr="008C78FC">
        <w:rPr>
          <w:szCs w:val="24"/>
          <w:lang w:val="hr-HR"/>
        </w:rPr>
        <w:t xml:space="preserve"> </w:t>
      </w:r>
      <w:proofErr w:type="spellStart"/>
      <w:r w:rsidRPr="008C78FC">
        <w:rPr>
          <w:szCs w:val="24"/>
          <w:lang w:val="hr-HR"/>
        </w:rPr>
        <w:t>Object</w:t>
      </w:r>
      <w:proofErr w:type="spellEnd"/>
      <w:r w:rsidRPr="008C78FC">
        <w:rPr>
          <w:szCs w:val="24"/>
          <w:lang w:val="hr-HR"/>
        </w:rPr>
        <w:t xml:space="preserve"> </w:t>
      </w:r>
      <w:proofErr w:type="spellStart"/>
      <w:r w:rsidRPr="008C78FC">
        <w:rPr>
          <w:szCs w:val="24"/>
          <w:lang w:val="hr-HR"/>
        </w:rPr>
        <w:t>Requirement</w:t>
      </w:r>
      <w:proofErr w:type="spellEnd"/>
      <w:r w:rsidRPr="008C78FC">
        <w:rPr>
          <w:szCs w:val="24"/>
          <w:lang w:val="hr-HR"/>
        </w:rPr>
        <w:t xml:space="preserve"> </w:t>
      </w:r>
      <w:proofErr w:type="spellStart"/>
      <w:r w:rsidRPr="008C78FC">
        <w:rPr>
          <w:szCs w:val="24"/>
          <w:lang w:val="hr-HR"/>
        </w:rPr>
        <w:t>Revisited</w:t>
      </w:r>
      <w:proofErr w:type="spellEnd"/>
      <w:r w:rsidRPr="008C78FC">
        <w:rPr>
          <w:szCs w:val="24"/>
          <w:lang w:val="hr-HR"/>
        </w:rPr>
        <w:t xml:space="preserve">’(2001) 26 </w:t>
      </w:r>
      <w:proofErr w:type="spellStart"/>
      <w:r w:rsidRPr="008C78FC">
        <w:rPr>
          <w:szCs w:val="24"/>
          <w:lang w:val="hr-HR"/>
        </w:rPr>
        <w:t>European</w:t>
      </w:r>
      <w:proofErr w:type="spellEnd"/>
      <w:r w:rsidRPr="008C78FC">
        <w:rPr>
          <w:szCs w:val="24"/>
          <w:lang w:val="hr-HR"/>
        </w:rPr>
        <w:t xml:space="preserve"> </w:t>
      </w:r>
      <w:proofErr w:type="spellStart"/>
      <w:r w:rsidRPr="008C78FC">
        <w:rPr>
          <w:szCs w:val="24"/>
          <w:lang w:val="hr-HR"/>
        </w:rPr>
        <w:t>Law</w:t>
      </w:r>
      <w:proofErr w:type="spellEnd"/>
      <w:r w:rsidRPr="008C78FC">
        <w:rPr>
          <w:szCs w:val="24"/>
          <w:lang w:val="hr-HR"/>
        </w:rPr>
        <w:t xml:space="preserve"> </w:t>
      </w:r>
      <w:proofErr w:type="spellStart"/>
      <w:r w:rsidRPr="008C78FC">
        <w:rPr>
          <w:szCs w:val="24"/>
          <w:lang w:val="hr-HR"/>
        </w:rPr>
        <w:t>Review</w:t>
      </w:r>
      <w:proofErr w:type="spellEnd"/>
      <w:r w:rsidRPr="008C78FC">
        <w:rPr>
          <w:szCs w:val="24"/>
          <w:lang w:val="hr-HR"/>
        </w:rPr>
        <w:t xml:space="preserve"> 379-390.</w:t>
      </w:r>
    </w:p>
    <w:p w:rsidR="00D1091E" w:rsidRPr="008C78FC" w:rsidRDefault="00B0158D" w:rsidP="00D1091E">
      <w:pPr>
        <w:pStyle w:val="Odlomakpopisa"/>
        <w:numPr>
          <w:ilvl w:val="0"/>
          <w:numId w:val="4"/>
        </w:numPr>
        <w:spacing w:line="480" w:lineRule="auto"/>
        <w:rPr>
          <w:szCs w:val="24"/>
          <w:lang w:val="hr-HR"/>
        </w:rPr>
      </w:pPr>
      <w:proofErr w:type="spellStart"/>
      <w:r w:rsidRPr="008C78FC">
        <w:rPr>
          <w:szCs w:val="24"/>
          <w:lang w:val="hr-HR"/>
        </w:rPr>
        <w:t>Poščić</w:t>
      </w:r>
      <w:proofErr w:type="spellEnd"/>
      <w:r w:rsidRPr="008C78FC">
        <w:rPr>
          <w:szCs w:val="24"/>
          <w:lang w:val="hr-HR"/>
        </w:rPr>
        <w:t xml:space="preserve">, A., </w:t>
      </w:r>
      <w:proofErr w:type="spellStart"/>
      <w:r w:rsidRPr="008C78FC">
        <w:rPr>
          <w:i/>
          <w:szCs w:val="24"/>
          <w:lang w:val="hr-HR"/>
        </w:rPr>
        <w:t>Zabranjenisporazumi</w:t>
      </w:r>
      <w:proofErr w:type="spellEnd"/>
      <w:r w:rsidRPr="008C78FC">
        <w:rPr>
          <w:i/>
          <w:szCs w:val="24"/>
          <w:lang w:val="hr-HR"/>
        </w:rPr>
        <w:t xml:space="preserve"> u </w:t>
      </w:r>
      <w:proofErr w:type="spellStart"/>
      <w:r w:rsidRPr="008C78FC">
        <w:rPr>
          <w:i/>
          <w:szCs w:val="24"/>
          <w:lang w:val="hr-HR"/>
        </w:rPr>
        <w:t>europskompravutržišnognatjecanja</w:t>
      </w:r>
      <w:proofErr w:type="spellEnd"/>
      <w:r w:rsidRPr="008C78FC">
        <w:rPr>
          <w:i/>
          <w:szCs w:val="24"/>
          <w:lang w:val="hr-HR"/>
        </w:rPr>
        <w:t xml:space="preserve">, </w:t>
      </w:r>
      <w:proofErr w:type="spellStart"/>
      <w:r w:rsidRPr="008C78FC">
        <w:rPr>
          <w:i/>
          <w:szCs w:val="24"/>
          <w:lang w:val="hr-HR"/>
        </w:rPr>
        <w:t>ZbornikPravnogfakultet</w:t>
      </w:r>
      <w:proofErr w:type="spellEnd"/>
      <w:r w:rsidRPr="008C78FC">
        <w:rPr>
          <w:i/>
          <w:szCs w:val="24"/>
          <w:lang w:val="hr-HR"/>
        </w:rPr>
        <w:t xml:space="preserve"> u Rijeci, v. 32, br.1, 319-350 (2011)</w:t>
      </w:r>
    </w:p>
    <w:p w:rsidR="00B0158D" w:rsidRPr="008C78FC" w:rsidRDefault="00D1091E" w:rsidP="00D1091E">
      <w:pPr>
        <w:pStyle w:val="Odlomakpopisa"/>
        <w:numPr>
          <w:ilvl w:val="0"/>
          <w:numId w:val="4"/>
        </w:numPr>
        <w:spacing w:line="480" w:lineRule="auto"/>
        <w:rPr>
          <w:szCs w:val="24"/>
          <w:lang w:val="hr-HR"/>
        </w:rPr>
      </w:pPr>
      <w:proofErr w:type="spellStart"/>
      <w:r w:rsidRPr="008C78FC">
        <w:rPr>
          <w:lang w:val="hr-HR"/>
        </w:rPr>
        <w:lastRenderedPageBreak/>
        <w:t>CsongorIstvan</w:t>
      </w:r>
      <w:proofErr w:type="spellEnd"/>
      <w:r w:rsidRPr="008C78FC">
        <w:rPr>
          <w:lang w:val="hr-HR"/>
        </w:rPr>
        <w:t xml:space="preserve"> </w:t>
      </w:r>
      <w:proofErr w:type="spellStart"/>
      <w:r w:rsidRPr="008C78FC">
        <w:rPr>
          <w:lang w:val="hr-HR"/>
        </w:rPr>
        <w:t>Nagy</w:t>
      </w:r>
      <w:proofErr w:type="spellEnd"/>
      <w:r w:rsidRPr="008C78FC">
        <w:rPr>
          <w:lang w:val="hr-HR"/>
        </w:rPr>
        <w:t xml:space="preserve"> </w:t>
      </w:r>
      <w:r w:rsidRPr="008C78FC">
        <w:rPr>
          <w:i/>
          <w:lang w:val="hr-HR"/>
        </w:rPr>
        <w:t>‘</w:t>
      </w:r>
      <w:proofErr w:type="spellStart"/>
      <w:r w:rsidRPr="008C78FC">
        <w:rPr>
          <w:i/>
          <w:lang w:val="hr-HR"/>
        </w:rPr>
        <w:t>The</w:t>
      </w:r>
      <w:proofErr w:type="spellEnd"/>
      <w:r w:rsidRPr="008C78FC">
        <w:rPr>
          <w:i/>
          <w:lang w:val="hr-HR"/>
        </w:rPr>
        <w:t xml:space="preserve"> </w:t>
      </w:r>
      <w:proofErr w:type="spellStart"/>
      <w:r w:rsidRPr="008C78FC">
        <w:rPr>
          <w:i/>
          <w:lang w:val="hr-HR"/>
        </w:rPr>
        <w:t>distinction</w:t>
      </w:r>
      <w:proofErr w:type="spellEnd"/>
      <w:r w:rsidRPr="008C78FC">
        <w:rPr>
          <w:i/>
          <w:lang w:val="hr-HR"/>
        </w:rPr>
        <w:t xml:space="preserve"> </w:t>
      </w:r>
      <w:proofErr w:type="spellStart"/>
      <w:r w:rsidRPr="008C78FC">
        <w:rPr>
          <w:i/>
          <w:lang w:val="hr-HR"/>
        </w:rPr>
        <w:t>between</w:t>
      </w:r>
      <w:proofErr w:type="spellEnd"/>
      <w:r w:rsidRPr="008C78FC">
        <w:rPr>
          <w:i/>
          <w:lang w:val="hr-HR"/>
        </w:rPr>
        <w:t xml:space="preserve"> </w:t>
      </w:r>
      <w:proofErr w:type="spellStart"/>
      <w:r w:rsidRPr="008C78FC">
        <w:rPr>
          <w:i/>
          <w:lang w:val="hr-HR"/>
        </w:rPr>
        <w:t>anti</w:t>
      </w:r>
      <w:proofErr w:type="spellEnd"/>
      <w:r w:rsidRPr="008C78FC">
        <w:rPr>
          <w:i/>
          <w:lang w:val="hr-HR"/>
        </w:rPr>
        <w:t>-</w:t>
      </w:r>
      <w:proofErr w:type="spellStart"/>
      <w:r w:rsidRPr="008C78FC">
        <w:rPr>
          <w:i/>
          <w:lang w:val="hr-HR"/>
        </w:rPr>
        <w:t>competitive</w:t>
      </w:r>
      <w:proofErr w:type="spellEnd"/>
      <w:r w:rsidRPr="008C78FC">
        <w:rPr>
          <w:i/>
          <w:lang w:val="hr-HR"/>
        </w:rPr>
        <w:t xml:space="preserve"> </w:t>
      </w:r>
      <w:proofErr w:type="spellStart"/>
      <w:r w:rsidRPr="008C78FC">
        <w:rPr>
          <w:i/>
          <w:lang w:val="hr-HR"/>
        </w:rPr>
        <w:t>object</w:t>
      </w:r>
      <w:proofErr w:type="spellEnd"/>
      <w:r w:rsidRPr="008C78FC">
        <w:rPr>
          <w:i/>
          <w:lang w:val="hr-HR"/>
        </w:rPr>
        <w:t xml:space="preserve"> </w:t>
      </w:r>
      <w:proofErr w:type="spellStart"/>
      <w:r w:rsidRPr="008C78FC">
        <w:rPr>
          <w:i/>
          <w:lang w:val="hr-HR"/>
        </w:rPr>
        <w:t>and</w:t>
      </w:r>
      <w:proofErr w:type="spellEnd"/>
      <w:r w:rsidRPr="008C78FC">
        <w:rPr>
          <w:i/>
          <w:lang w:val="hr-HR"/>
        </w:rPr>
        <w:t xml:space="preserve"> </w:t>
      </w:r>
      <w:proofErr w:type="spellStart"/>
      <w:r w:rsidRPr="008C78FC">
        <w:rPr>
          <w:i/>
          <w:lang w:val="hr-HR"/>
        </w:rPr>
        <w:t>effect</w:t>
      </w:r>
      <w:proofErr w:type="spellEnd"/>
      <w:r w:rsidRPr="008C78FC">
        <w:rPr>
          <w:i/>
          <w:lang w:val="hr-HR"/>
        </w:rPr>
        <w:t xml:space="preserve"> </w:t>
      </w:r>
      <w:proofErr w:type="spellStart"/>
      <w:r w:rsidRPr="008C78FC">
        <w:rPr>
          <w:i/>
          <w:lang w:val="hr-HR"/>
        </w:rPr>
        <w:t>after</w:t>
      </w:r>
      <w:proofErr w:type="spellEnd"/>
      <w:r w:rsidRPr="008C78FC">
        <w:rPr>
          <w:i/>
          <w:lang w:val="hr-HR"/>
        </w:rPr>
        <w:t xml:space="preserve"> Allianz: </w:t>
      </w:r>
      <w:proofErr w:type="spellStart"/>
      <w:r w:rsidRPr="008C78FC">
        <w:rPr>
          <w:i/>
          <w:lang w:val="hr-HR"/>
        </w:rPr>
        <w:t>The</w:t>
      </w:r>
      <w:proofErr w:type="spellEnd"/>
      <w:r w:rsidRPr="008C78FC">
        <w:rPr>
          <w:i/>
          <w:lang w:val="hr-HR"/>
        </w:rPr>
        <w:t xml:space="preserve"> </w:t>
      </w:r>
      <w:proofErr w:type="spellStart"/>
      <w:r w:rsidRPr="008C78FC">
        <w:rPr>
          <w:i/>
          <w:lang w:val="hr-HR"/>
        </w:rPr>
        <w:t>end</w:t>
      </w:r>
      <w:proofErr w:type="spellEnd"/>
      <w:r w:rsidRPr="008C78FC">
        <w:rPr>
          <w:i/>
          <w:lang w:val="hr-HR"/>
        </w:rPr>
        <w:t xml:space="preserve"> </w:t>
      </w:r>
      <w:proofErr w:type="spellStart"/>
      <w:r w:rsidRPr="008C78FC">
        <w:rPr>
          <w:i/>
          <w:lang w:val="hr-HR"/>
        </w:rPr>
        <w:t>of</w:t>
      </w:r>
      <w:proofErr w:type="spellEnd"/>
      <w:r w:rsidRPr="008C78FC">
        <w:rPr>
          <w:i/>
          <w:lang w:val="hr-HR"/>
        </w:rPr>
        <w:t xml:space="preserve"> </w:t>
      </w:r>
      <w:proofErr w:type="spellStart"/>
      <w:r w:rsidRPr="008C78FC">
        <w:rPr>
          <w:i/>
          <w:lang w:val="hr-HR"/>
        </w:rPr>
        <w:t>coherence</w:t>
      </w:r>
      <w:proofErr w:type="spellEnd"/>
      <w:r w:rsidRPr="008C78FC">
        <w:rPr>
          <w:i/>
          <w:lang w:val="hr-HR"/>
        </w:rPr>
        <w:t xml:space="preserve"> </w:t>
      </w:r>
      <w:proofErr w:type="spellStart"/>
      <w:r w:rsidRPr="008C78FC">
        <w:rPr>
          <w:i/>
          <w:lang w:val="hr-HR"/>
        </w:rPr>
        <w:t>in</w:t>
      </w:r>
      <w:proofErr w:type="spellEnd"/>
      <w:r w:rsidRPr="008C78FC">
        <w:rPr>
          <w:i/>
          <w:lang w:val="hr-HR"/>
        </w:rPr>
        <w:t xml:space="preserve"> </w:t>
      </w:r>
      <w:proofErr w:type="spellStart"/>
      <w:r w:rsidRPr="008C78FC">
        <w:rPr>
          <w:i/>
          <w:lang w:val="hr-HR"/>
        </w:rPr>
        <w:t>competition</w:t>
      </w:r>
      <w:proofErr w:type="spellEnd"/>
      <w:r w:rsidRPr="008C78FC">
        <w:rPr>
          <w:i/>
          <w:lang w:val="hr-HR"/>
        </w:rPr>
        <w:t xml:space="preserve"> </w:t>
      </w:r>
      <w:proofErr w:type="spellStart"/>
      <w:r w:rsidRPr="008C78FC">
        <w:rPr>
          <w:i/>
          <w:lang w:val="hr-HR"/>
        </w:rPr>
        <w:t>analysis</w:t>
      </w:r>
      <w:proofErr w:type="spellEnd"/>
      <w:r w:rsidRPr="008C78FC">
        <w:rPr>
          <w:i/>
          <w:lang w:val="hr-HR"/>
        </w:rPr>
        <w:t xml:space="preserve">?’ World </w:t>
      </w:r>
      <w:proofErr w:type="spellStart"/>
      <w:r w:rsidRPr="008C78FC">
        <w:rPr>
          <w:i/>
          <w:lang w:val="hr-HR"/>
        </w:rPr>
        <w:t>Competition</w:t>
      </w:r>
      <w:proofErr w:type="spellEnd"/>
      <w:r w:rsidRPr="008C78FC">
        <w:rPr>
          <w:i/>
          <w:lang w:val="hr-HR"/>
        </w:rPr>
        <w:t>, 541</w:t>
      </w:r>
    </w:p>
    <w:p w:rsidR="003E64E4" w:rsidRPr="008C78FC" w:rsidRDefault="003E64E4" w:rsidP="003E64E4">
      <w:pPr>
        <w:pStyle w:val="Odlomakpopisa"/>
        <w:numPr>
          <w:ilvl w:val="0"/>
          <w:numId w:val="4"/>
        </w:numPr>
        <w:spacing w:after="200" w:line="480" w:lineRule="auto"/>
        <w:rPr>
          <w:szCs w:val="24"/>
          <w:lang w:val="hr-HR"/>
        </w:rPr>
      </w:pPr>
      <w:proofErr w:type="spellStart"/>
      <w:r w:rsidRPr="008C78FC">
        <w:rPr>
          <w:szCs w:val="24"/>
          <w:lang w:val="hr-HR"/>
        </w:rPr>
        <w:t>Andreangeli</w:t>
      </w:r>
      <w:proofErr w:type="spellEnd"/>
      <w:r w:rsidRPr="008C78FC">
        <w:rPr>
          <w:szCs w:val="24"/>
          <w:lang w:val="hr-HR"/>
        </w:rPr>
        <w:t xml:space="preserve">, </w:t>
      </w:r>
      <w:proofErr w:type="spellStart"/>
      <w:r w:rsidRPr="008C78FC">
        <w:rPr>
          <w:szCs w:val="24"/>
          <w:lang w:val="hr-HR"/>
        </w:rPr>
        <w:t>Arianna</w:t>
      </w:r>
      <w:proofErr w:type="spellEnd"/>
      <w:r w:rsidRPr="008C78FC">
        <w:rPr>
          <w:szCs w:val="24"/>
          <w:lang w:val="hr-HR"/>
        </w:rPr>
        <w:t xml:space="preserve"> ‘</w:t>
      </w:r>
      <w:proofErr w:type="spellStart"/>
      <w:r w:rsidRPr="008C78FC">
        <w:rPr>
          <w:szCs w:val="24"/>
          <w:lang w:val="hr-HR"/>
        </w:rPr>
        <w:t>From</w:t>
      </w:r>
      <w:proofErr w:type="spellEnd"/>
      <w:r w:rsidRPr="008C78FC">
        <w:rPr>
          <w:szCs w:val="24"/>
          <w:lang w:val="hr-HR"/>
        </w:rPr>
        <w:t xml:space="preserve"> Mobile </w:t>
      </w:r>
      <w:proofErr w:type="spellStart"/>
      <w:r w:rsidRPr="008C78FC">
        <w:rPr>
          <w:szCs w:val="24"/>
          <w:lang w:val="hr-HR"/>
        </w:rPr>
        <w:t>Phones</w:t>
      </w:r>
      <w:proofErr w:type="spellEnd"/>
      <w:r w:rsidRPr="008C78FC">
        <w:rPr>
          <w:szCs w:val="24"/>
          <w:lang w:val="hr-HR"/>
        </w:rPr>
        <w:t xml:space="preserve"> to </w:t>
      </w:r>
      <w:proofErr w:type="spellStart"/>
      <w:r w:rsidRPr="008C78FC">
        <w:rPr>
          <w:szCs w:val="24"/>
          <w:lang w:val="hr-HR"/>
        </w:rPr>
        <w:t>Cattle</w:t>
      </w:r>
      <w:proofErr w:type="spellEnd"/>
      <w:r w:rsidRPr="008C78FC">
        <w:rPr>
          <w:szCs w:val="24"/>
          <w:lang w:val="hr-HR"/>
        </w:rPr>
        <w:t xml:space="preserve">: </w:t>
      </w:r>
      <w:proofErr w:type="spellStart"/>
      <w:r w:rsidRPr="008C78FC">
        <w:rPr>
          <w:szCs w:val="24"/>
          <w:lang w:val="hr-HR"/>
        </w:rPr>
        <w:t>How</w:t>
      </w:r>
      <w:proofErr w:type="spellEnd"/>
      <w:r w:rsidRPr="008C78FC">
        <w:rPr>
          <w:szCs w:val="24"/>
          <w:lang w:val="hr-HR"/>
        </w:rPr>
        <w:t xml:space="preserve"> </w:t>
      </w:r>
      <w:proofErr w:type="spellStart"/>
      <w:r w:rsidRPr="008C78FC">
        <w:rPr>
          <w:szCs w:val="24"/>
          <w:lang w:val="hr-HR"/>
        </w:rPr>
        <w:t>the</w:t>
      </w:r>
      <w:proofErr w:type="spellEnd"/>
      <w:r w:rsidRPr="008C78FC">
        <w:rPr>
          <w:szCs w:val="24"/>
          <w:lang w:val="hr-HR"/>
        </w:rPr>
        <w:t xml:space="preserve"> Court </w:t>
      </w:r>
      <w:proofErr w:type="spellStart"/>
      <w:r w:rsidRPr="008C78FC">
        <w:rPr>
          <w:szCs w:val="24"/>
          <w:lang w:val="hr-HR"/>
        </w:rPr>
        <w:t>of</w:t>
      </w:r>
      <w:proofErr w:type="spellEnd"/>
      <w:r w:rsidRPr="008C78FC">
        <w:rPr>
          <w:szCs w:val="24"/>
          <w:lang w:val="hr-HR"/>
        </w:rPr>
        <w:t xml:space="preserve"> </w:t>
      </w:r>
      <w:proofErr w:type="spellStart"/>
      <w:r w:rsidRPr="008C78FC">
        <w:rPr>
          <w:szCs w:val="24"/>
          <w:lang w:val="hr-HR"/>
        </w:rPr>
        <w:t>Justice</w:t>
      </w:r>
      <w:proofErr w:type="spellEnd"/>
      <w:r w:rsidRPr="008C78FC">
        <w:rPr>
          <w:szCs w:val="24"/>
          <w:lang w:val="hr-HR"/>
        </w:rPr>
        <w:t xml:space="preserve"> is  </w:t>
      </w:r>
      <w:proofErr w:type="spellStart"/>
      <w:r w:rsidRPr="008C78FC">
        <w:rPr>
          <w:szCs w:val="24"/>
          <w:lang w:val="hr-HR"/>
        </w:rPr>
        <w:t>reaframing</w:t>
      </w:r>
      <w:proofErr w:type="spellEnd"/>
      <w:r w:rsidRPr="008C78FC">
        <w:rPr>
          <w:szCs w:val="24"/>
          <w:lang w:val="hr-HR"/>
        </w:rPr>
        <w:t xml:space="preserve"> </w:t>
      </w:r>
      <w:proofErr w:type="spellStart"/>
      <w:r w:rsidRPr="008C78FC">
        <w:rPr>
          <w:szCs w:val="24"/>
          <w:lang w:val="hr-HR"/>
        </w:rPr>
        <w:t>the</w:t>
      </w:r>
      <w:proofErr w:type="spellEnd"/>
      <w:r w:rsidRPr="008C78FC">
        <w:rPr>
          <w:szCs w:val="24"/>
          <w:lang w:val="hr-HR"/>
        </w:rPr>
        <w:t xml:space="preserve"> </w:t>
      </w:r>
      <w:proofErr w:type="spellStart"/>
      <w:r w:rsidRPr="008C78FC">
        <w:rPr>
          <w:szCs w:val="24"/>
          <w:lang w:val="hr-HR"/>
        </w:rPr>
        <w:t>approach</w:t>
      </w:r>
      <w:proofErr w:type="spellEnd"/>
      <w:r w:rsidRPr="008C78FC">
        <w:rPr>
          <w:szCs w:val="24"/>
          <w:lang w:val="hr-HR"/>
        </w:rPr>
        <w:t xml:space="preserve"> to </w:t>
      </w:r>
      <w:proofErr w:type="spellStart"/>
      <w:r w:rsidRPr="008C78FC">
        <w:rPr>
          <w:szCs w:val="24"/>
          <w:lang w:val="hr-HR"/>
        </w:rPr>
        <w:t>article</w:t>
      </w:r>
      <w:proofErr w:type="spellEnd"/>
      <w:r w:rsidRPr="008C78FC">
        <w:rPr>
          <w:szCs w:val="24"/>
          <w:lang w:val="hr-HR"/>
        </w:rPr>
        <w:t xml:space="preserve"> 101 </w:t>
      </w:r>
      <w:proofErr w:type="spellStart"/>
      <w:r w:rsidRPr="008C78FC">
        <w:rPr>
          <w:szCs w:val="24"/>
          <w:lang w:val="hr-HR"/>
        </w:rPr>
        <w:t>of</w:t>
      </w:r>
      <w:proofErr w:type="spellEnd"/>
      <w:r w:rsidRPr="008C78FC">
        <w:rPr>
          <w:szCs w:val="24"/>
          <w:lang w:val="hr-HR"/>
        </w:rPr>
        <w:t xml:space="preserve"> </w:t>
      </w:r>
      <w:proofErr w:type="spellStart"/>
      <w:r w:rsidRPr="008C78FC">
        <w:rPr>
          <w:szCs w:val="24"/>
          <w:lang w:val="hr-HR"/>
        </w:rPr>
        <w:t>the</w:t>
      </w:r>
      <w:proofErr w:type="spellEnd"/>
      <w:r w:rsidRPr="008C78FC">
        <w:rPr>
          <w:szCs w:val="24"/>
          <w:lang w:val="hr-HR"/>
        </w:rPr>
        <w:t xml:space="preserve"> EU </w:t>
      </w:r>
      <w:proofErr w:type="spellStart"/>
      <w:r w:rsidRPr="008C78FC">
        <w:rPr>
          <w:szCs w:val="24"/>
          <w:lang w:val="hr-HR"/>
        </w:rPr>
        <w:t>Treaty</w:t>
      </w:r>
      <w:proofErr w:type="spellEnd"/>
      <w:r w:rsidRPr="008C78FC">
        <w:rPr>
          <w:szCs w:val="24"/>
          <w:lang w:val="hr-HR"/>
        </w:rPr>
        <w:t xml:space="preserve">’, World </w:t>
      </w:r>
      <w:proofErr w:type="spellStart"/>
      <w:r w:rsidRPr="008C78FC">
        <w:rPr>
          <w:szCs w:val="24"/>
          <w:lang w:val="hr-HR"/>
        </w:rPr>
        <w:t>Competition</w:t>
      </w:r>
      <w:proofErr w:type="spellEnd"/>
      <w:r w:rsidRPr="008C78FC">
        <w:rPr>
          <w:szCs w:val="24"/>
          <w:lang w:val="hr-HR"/>
        </w:rPr>
        <w:t xml:space="preserve"> 215</w:t>
      </w:r>
    </w:p>
    <w:p w:rsidR="003E64E4" w:rsidRPr="008C78FC" w:rsidRDefault="003E64E4" w:rsidP="003E64E4">
      <w:pPr>
        <w:pStyle w:val="Odlomakpopisa"/>
        <w:numPr>
          <w:ilvl w:val="0"/>
          <w:numId w:val="4"/>
        </w:numPr>
        <w:spacing w:after="200" w:line="480" w:lineRule="auto"/>
        <w:rPr>
          <w:szCs w:val="24"/>
          <w:lang w:val="hr-HR"/>
        </w:rPr>
      </w:pPr>
      <w:r w:rsidRPr="008C78FC">
        <w:rPr>
          <w:szCs w:val="24"/>
          <w:lang w:val="hr-HR"/>
        </w:rPr>
        <w:t xml:space="preserve">David </w:t>
      </w:r>
      <w:proofErr w:type="spellStart"/>
      <w:r w:rsidRPr="008C78FC">
        <w:rPr>
          <w:szCs w:val="24"/>
          <w:lang w:val="hr-HR"/>
        </w:rPr>
        <w:t>Bailey</w:t>
      </w:r>
      <w:proofErr w:type="spellEnd"/>
      <w:r w:rsidRPr="008C78FC">
        <w:rPr>
          <w:szCs w:val="24"/>
          <w:lang w:val="hr-HR"/>
        </w:rPr>
        <w:t>, ‘</w:t>
      </w:r>
      <w:proofErr w:type="spellStart"/>
      <w:r w:rsidRPr="008C78FC">
        <w:rPr>
          <w:szCs w:val="24"/>
          <w:lang w:val="hr-HR"/>
        </w:rPr>
        <w:t>Restrictions</w:t>
      </w:r>
      <w:proofErr w:type="spellEnd"/>
      <w:r w:rsidRPr="008C78FC">
        <w:rPr>
          <w:szCs w:val="24"/>
          <w:lang w:val="hr-HR"/>
        </w:rPr>
        <w:t xml:space="preserve"> </w:t>
      </w:r>
      <w:proofErr w:type="spellStart"/>
      <w:r w:rsidRPr="008C78FC">
        <w:rPr>
          <w:szCs w:val="24"/>
          <w:lang w:val="hr-HR"/>
        </w:rPr>
        <w:t>of</w:t>
      </w:r>
      <w:proofErr w:type="spellEnd"/>
      <w:r w:rsidRPr="008C78FC">
        <w:rPr>
          <w:szCs w:val="24"/>
          <w:lang w:val="hr-HR"/>
        </w:rPr>
        <w:t xml:space="preserve"> </w:t>
      </w:r>
      <w:proofErr w:type="spellStart"/>
      <w:r w:rsidRPr="008C78FC">
        <w:rPr>
          <w:szCs w:val="24"/>
          <w:lang w:val="hr-HR"/>
        </w:rPr>
        <w:t>competition</w:t>
      </w:r>
      <w:proofErr w:type="spellEnd"/>
      <w:r w:rsidRPr="008C78FC">
        <w:rPr>
          <w:szCs w:val="24"/>
          <w:lang w:val="hr-HR"/>
        </w:rPr>
        <w:t xml:space="preserve"> </w:t>
      </w:r>
      <w:proofErr w:type="spellStart"/>
      <w:r w:rsidRPr="008C78FC">
        <w:rPr>
          <w:szCs w:val="24"/>
          <w:lang w:val="hr-HR"/>
        </w:rPr>
        <w:t>by</w:t>
      </w:r>
      <w:proofErr w:type="spellEnd"/>
      <w:r w:rsidRPr="008C78FC">
        <w:rPr>
          <w:szCs w:val="24"/>
          <w:lang w:val="hr-HR"/>
        </w:rPr>
        <w:t xml:space="preserve"> </w:t>
      </w:r>
      <w:proofErr w:type="spellStart"/>
      <w:r w:rsidRPr="008C78FC">
        <w:rPr>
          <w:szCs w:val="24"/>
          <w:lang w:val="hr-HR"/>
        </w:rPr>
        <w:t>object</w:t>
      </w:r>
      <w:proofErr w:type="spellEnd"/>
      <w:r w:rsidRPr="008C78FC">
        <w:rPr>
          <w:szCs w:val="24"/>
          <w:lang w:val="hr-HR"/>
        </w:rPr>
        <w:t xml:space="preserve"> </w:t>
      </w:r>
      <w:proofErr w:type="spellStart"/>
      <w:r w:rsidRPr="008C78FC">
        <w:rPr>
          <w:szCs w:val="24"/>
          <w:lang w:val="hr-HR"/>
        </w:rPr>
        <w:t>under</w:t>
      </w:r>
      <w:proofErr w:type="spellEnd"/>
      <w:r w:rsidRPr="008C78FC">
        <w:rPr>
          <w:szCs w:val="24"/>
          <w:lang w:val="hr-HR"/>
        </w:rPr>
        <w:t xml:space="preserve"> </w:t>
      </w:r>
      <w:proofErr w:type="spellStart"/>
      <w:r w:rsidRPr="008C78FC">
        <w:rPr>
          <w:szCs w:val="24"/>
          <w:lang w:val="hr-HR"/>
        </w:rPr>
        <w:t>Article</w:t>
      </w:r>
      <w:proofErr w:type="spellEnd"/>
      <w:r w:rsidRPr="008C78FC">
        <w:rPr>
          <w:szCs w:val="24"/>
          <w:lang w:val="hr-HR"/>
        </w:rPr>
        <w:t xml:space="preserve"> 101 </w:t>
      </w:r>
      <w:proofErr w:type="spellStart"/>
      <w:r w:rsidRPr="008C78FC">
        <w:rPr>
          <w:szCs w:val="24"/>
          <w:lang w:val="hr-HR"/>
        </w:rPr>
        <w:t>TFEU</w:t>
      </w:r>
      <w:proofErr w:type="spellEnd"/>
      <w:r w:rsidRPr="008C78FC">
        <w:rPr>
          <w:szCs w:val="24"/>
          <w:lang w:val="hr-HR"/>
        </w:rPr>
        <w:t xml:space="preserve">’ (2012) </w:t>
      </w:r>
      <w:proofErr w:type="spellStart"/>
      <w:r w:rsidRPr="008C78FC">
        <w:rPr>
          <w:szCs w:val="24"/>
          <w:lang w:val="hr-HR"/>
        </w:rPr>
        <w:t>Common</w:t>
      </w:r>
      <w:proofErr w:type="spellEnd"/>
      <w:r w:rsidRPr="008C78FC">
        <w:rPr>
          <w:szCs w:val="24"/>
          <w:lang w:val="hr-HR"/>
        </w:rPr>
        <w:t xml:space="preserve"> </w:t>
      </w:r>
      <w:proofErr w:type="spellStart"/>
      <w:r w:rsidRPr="008C78FC">
        <w:rPr>
          <w:szCs w:val="24"/>
          <w:lang w:val="hr-HR"/>
        </w:rPr>
        <w:t>Market</w:t>
      </w:r>
      <w:proofErr w:type="spellEnd"/>
      <w:r w:rsidRPr="008C78FC">
        <w:rPr>
          <w:szCs w:val="24"/>
          <w:lang w:val="hr-HR"/>
        </w:rPr>
        <w:t xml:space="preserve"> </w:t>
      </w:r>
      <w:proofErr w:type="spellStart"/>
      <w:r w:rsidRPr="008C78FC">
        <w:rPr>
          <w:szCs w:val="24"/>
          <w:lang w:val="hr-HR"/>
        </w:rPr>
        <w:t>Law</w:t>
      </w:r>
      <w:proofErr w:type="spellEnd"/>
      <w:r w:rsidRPr="008C78FC">
        <w:rPr>
          <w:szCs w:val="24"/>
          <w:lang w:val="hr-HR"/>
        </w:rPr>
        <w:t xml:space="preserve"> </w:t>
      </w:r>
      <w:proofErr w:type="spellStart"/>
      <w:r w:rsidRPr="008C78FC">
        <w:rPr>
          <w:szCs w:val="24"/>
          <w:lang w:val="hr-HR"/>
        </w:rPr>
        <w:t>Review</w:t>
      </w:r>
      <w:proofErr w:type="spellEnd"/>
      <w:r w:rsidRPr="008C78FC">
        <w:rPr>
          <w:szCs w:val="24"/>
          <w:lang w:val="hr-HR"/>
        </w:rPr>
        <w:t xml:space="preserve"> 559</w:t>
      </w:r>
    </w:p>
    <w:p w:rsidR="003E64E4" w:rsidRPr="008C78FC" w:rsidRDefault="003E64E4" w:rsidP="003E64E4">
      <w:pPr>
        <w:pStyle w:val="Odlomakpopisa"/>
        <w:numPr>
          <w:ilvl w:val="0"/>
          <w:numId w:val="4"/>
        </w:numPr>
        <w:spacing w:after="200" w:line="480" w:lineRule="auto"/>
        <w:rPr>
          <w:szCs w:val="24"/>
          <w:lang w:val="hr-HR"/>
        </w:rPr>
      </w:pPr>
      <w:proofErr w:type="spellStart"/>
      <w:r w:rsidRPr="008C78FC">
        <w:rPr>
          <w:szCs w:val="24"/>
          <w:lang w:val="hr-HR"/>
        </w:rPr>
        <w:t>Cosmo</w:t>
      </w:r>
      <w:proofErr w:type="spellEnd"/>
      <w:r w:rsidRPr="008C78FC">
        <w:rPr>
          <w:szCs w:val="24"/>
          <w:lang w:val="hr-HR"/>
        </w:rPr>
        <w:t xml:space="preserve"> Graham, ‘</w:t>
      </w:r>
      <w:proofErr w:type="spellStart"/>
      <w:r w:rsidRPr="008C78FC">
        <w:rPr>
          <w:szCs w:val="24"/>
          <w:lang w:val="hr-HR"/>
        </w:rPr>
        <w:t>Methods</w:t>
      </w:r>
      <w:proofErr w:type="spellEnd"/>
      <w:r w:rsidRPr="008C78FC">
        <w:rPr>
          <w:szCs w:val="24"/>
          <w:lang w:val="hr-HR"/>
        </w:rPr>
        <w:t xml:space="preserve"> for </w:t>
      </w:r>
      <w:proofErr w:type="spellStart"/>
      <w:r w:rsidRPr="008C78FC">
        <w:rPr>
          <w:szCs w:val="24"/>
          <w:lang w:val="hr-HR"/>
        </w:rPr>
        <w:t>determining</w:t>
      </w:r>
      <w:proofErr w:type="spellEnd"/>
      <w:r w:rsidRPr="008C78FC">
        <w:rPr>
          <w:szCs w:val="24"/>
          <w:lang w:val="hr-HR"/>
        </w:rPr>
        <w:t xml:space="preserve"> </w:t>
      </w:r>
      <w:proofErr w:type="spellStart"/>
      <w:r w:rsidRPr="008C78FC">
        <w:rPr>
          <w:szCs w:val="24"/>
          <w:lang w:val="hr-HR"/>
        </w:rPr>
        <w:t>whwther</w:t>
      </w:r>
      <w:proofErr w:type="spellEnd"/>
      <w:r w:rsidRPr="008C78FC">
        <w:rPr>
          <w:szCs w:val="24"/>
          <w:lang w:val="hr-HR"/>
        </w:rPr>
        <w:t xml:space="preserve"> </w:t>
      </w:r>
      <w:proofErr w:type="spellStart"/>
      <w:r w:rsidRPr="008C78FC">
        <w:rPr>
          <w:szCs w:val="24"/>
          <w:lang w:val="hr-HR"/>
        </w:rPr>
        <w:t>an</w:t>
      </w:r>
      <w:proofErr w:type="spellEnd"/>
      <w:r w:rsidRPr="008C78FC">
        <w:rPr>
          <w:szCs w:val="24"/>
          <w:lang w:val="hr-HR"/>
        </w:rPr>
        <w:t xml:space="preserve"> </w:t>
      </w:r>
      <w:proofErr w:type="spellStart"/>
      <w:r w:rsidRPr="008C78FC">
        <w:rPr>
          <w:szCs w:val="24"/>
          <w:lang w:val="hr-HR"/>
        </w:rPr>
        <w:t>agreement</w:t>
      </w:r>
      <w:proofErr w:type="spellEnd"/>
      <w:r w:rsidRPr="008C78FC">
        <w:rPr>
          <w:szCs w:val="24"/>
          <w:lang w:val="hr-HR"/>
        </w:rPr>
        <w:t xml:space="preserve"> </w:t>
      </w:r>
      <w:proofErr w:type="spellStart"/>
      <w:r w:rsidRPr="008C78FC">
        <w:rPr>
          <w:szCs w:val="24"/>
          <w:lang w:val="hr-HR"/>
        </w:rPr>
        <w:t>restricts</w:t>
      </w:r>
      <w:proofErr w:type="spellEnd"/>
      <w:r w:rsidRPr="008C78FC">
        <w:rPr>
          <w:szCs w:val="24"/>
          <w:lang w:val="hr-HR"/>
        </w:rPr>
        <w:t xml:space="preserve"> </w:t>
      </w:r>
      <w:proofErr w:type="spellStart"/>
      <w:r w:rsidRPr="008C78FC">
        <w:rPr>
          <w:szCs w:val="24"/>
          <w:lang w:val="hr-HR"/>
        </w:rPr>
        <w:t>competition</w:t>
      </w:r>
      <w:proofErr w:type="spellEnd"/>
      <w:r w:rsidRPr="008C78FC">
        <w:rPr>
          <w:szCs w:val="24"/>
          <w:lang w:val="hr-HR"/>
        </w:rPr>
        <w:t xml:space="preserve">: </w:t>
      </w:r>
      <w:proofErr w:type="spellStart"/>
      <w:r w:rsidRPr="008C78FC">
        <w:rPr>
          <w:szCs w:val="24"/>
          <w:lang w:val="hr-HR"/>
        </w:rPr>
        <w:t>comment</w:t>
      </w:r>
      <w:proofErr w:type="spellEnd"/>
      <w:r w:rsidRPr="008C78FC">
        <w:rPr>
          <w:szCs w:val="24"/>
          <w:lang w:val="hr-HR"/>
        </w:rPr>
        <w:t xml:space="preserve"> on Allianz </w:t>
      </w:r>
      <w:proofErr w:type="spellStart"/>
      <w:r w:rsidRPr="008C78FC">
        <w:rPr>
          <w:szCs w:val="24"/>
          <w:lang w:val="hr-HR"/>
        </w:rPr>
        <w:t>Hungaria</w:t>
      </w:r>
      <w:proofErr w:type="spellEnd"/>
      <w:r w:rsidRPr="008C78FC">
        <w:rPr>
          <w:szCs w:val="24"/>
          <w:lang w:val="hr-HR"/>
        </w:rPr>
        <w:t xml:space="preserve">’ [2013] </w:t>
      </w:r>
      <w:proofErr w:type="spellStart"/>
      <w:r w:rsidRPr="008C78FC">
        <w:rPr>
          <w:szCs w:val="24"/>
          <w:lang w:val="hr-HR"/>
        </w:rPr>
        <w:t>European</w:t>
      </w:r>
      <w:proofErr w:type="spellEnd"/>
      <w:r w:rsidRPr="008C78FC">
        <w:rPr>
          <w:szCs w:val="24"/>
          <w:lang w:val="hr-HR"/>
        </w:rPr>
        <w:t xml:space="preserve"> </w:t>
      </w:r>
      <w:proofErr w:type="spellStart"/>
      <w:r w:rsidRPr="008C78FC">
        <w:rPr>
          <w:szCs w:val="24"/>
          <w:lang w:val="hr-HR"/>
        </w:rPr>
        <w:t>law</w:t>
      </w:r>
      <w:proofErr w:type="spellEnd"/>
      <w:r w:rsidRPr="008C78FC">
        <w:rPr>
          <w:szCs w:val="24"/>
          <w:lang w:val="hr-HR"/>
        </w:rPr>
        <w:t xml:space="preserve"> </w:t>
      </w:r>
      <w:proofErr w:type="spellStart"/>
      <w:r w:rsidRPr="008C78FC">
        <w:rPr>
          <w:szCs w:val="24"/>
          <w:lang w:val="hr-HR"/>
        </w:rPr>
        <w:t>review</w:t>
      </w:r>
      <w:proofErr w:type="spellEnd"/>
      <w:r w:rsidRPr="008C78FC">
        <w:rPr>
          <w:szCs w:val="24"/>
          <w:lang w:val="hr-HR"/>
        </w:rPr>
        <w:t xml:space="preserve"> 38(4), 542-551</w:t>
      </w:r>
    </w:p>
    <w:p w:rsidR="003E64E4" w:rsidRPr="008C78FC" w:rsidRDefault="003E64E4" w:rsidP="003E64E4">
      <w:pPr>
        <w:pStyle w:val="Odlomakpopisa"/>
        <w:numPr>
          <w:ilvl w:val="0"/>
          <w:numId w:val="4"/>
        </w:numPr>
        <w:spacing w:after="200" w:line="480" w:lineRule="auto"/>
        <w:rPr>
          <w:szCs w:val="24"/>
          <w:lang w:val="hr-HR"/>
        </w:rPr>
      </w:pPr>
      <w:proofErr w:type="spellStart"/>
      <w:r w:rsidRPr="008C78FC">
        <w:rPr>
          <w:szCs w:val="24"/>
          <w:lang w:val="hr-HR"/>
        </w:rPr>
        <w:t>Pablo</w:t>
      </w:r>
      <w:proofErr w:type="spellEnd"/>
      <w:r w:rsidRPr="008C78FC">
        <w:rPr>
          <w:szCs w:val="24"/>
          <w:lang w:val="hr-HR"/>
        </w:rPr>
        <w:t xml:space="preserve"> </w:t>
      </w:r>
      <w:proofErr w:type="spellStart"/>
      <w:r w:rsidRPr="008C78FC">
        <w:rPr>
          <w:szCs w:val="24"/>
          <w:lang w:val="hr-HR"/>
        </w:rPr>
        <w:t>Ibanez</w:t>
      </w:r>
      <w:proofErr w:type="spellEnd"/>
      <w:r w:rsidRPr="008C78FC">
        <w:rPr>
          <w:szCs w:val="24"/>
          <w:lang w:val="hr-HR"/>
        </w:rPr>
        <w:t xml:space="preserve"> </w:t>
      </w:r>
      <w:proofErr w:type="spellStart"/>
      <w:r w:rsidRPr="008C78FC">
        <w:rPr>
          <w:szCs w:val="24"/>
          <w:lang w:val="hr-HR"/>
        </w:rPr>
        <w:t>Colomo</w:t>
      </w:r>
      <w:proofErr w:type="spellEnd"/>
      <w:r w:rsidRPr="008C78FC">
        <w:rPr>
          <w:szCs w:val="24"/>
          <w:lang w:val="hr-HR"/>
        </w:rPr>
        <w:t xml:space="preserve"> '</w:t>
      </w:r>
      <w:proofErr w:type="spellStart"/>
      <w:r w:rsidRPr="008C78FC">
        <w:rPr>
          <w:szCs w:val="24"/>
          <w:lang w:val="hr-HR"/>
        </w:rPr>
        <w:t>Market</w:t>
      </w:r>
      <w:proofErr w:type="spellEnd"/>
      <w:r w:rsidRPr="008C78FC">
        <w:rPr>
          <w:szCs w:val="24"/>
          <w:lang w:val="hr-HR"/>
        </w:rPr>
        <w:t xml:space="preserve"> </w:t>
      </w:r>
      <w:proofErr w:type="spellStart"/>
      <w:r w:rsidRPr="008C78FC">
        <w:rPr>
          <w:szCs w:val="24"/>
          <w:lang w:val="hr-HR"/>
        </w:rPr>
        <w:t>failures</w:t>
      </w:r>
      <w:proofErr w:type="spellEnd"/>
      <w:r w:rsidRPr="008C78FC">
        <w:rPr>
          <w:szCs w:val="24"/>
          <w:lang w:val="hr-HR"/>
        </w:rPr>
        <w:t xml:space="preserve">, </w:t>
      </w:r>
      <w:proofErr w:type="spellStart"/>
      <w:r w:rsidRPr="008C78FC">
        <w:rPr>
          <w:szCs w:val="24"/>
          <w:lang w:val="hr-HR"/>
        </w:rPr>
        <w:t>transaction</w:t>
      </w:r>
      <w:proofErr w:type="spellEnd"/>
      <w:r w:rsidRPr="008C78FC">
        <w:rPr>
          <w:szCs w:val="24"/>
          <w:lang w:val="hr-HR"/>
        </w:rPr>
        <w:t xml:space="preserve"> </w:t>
      </w:r>
      <w:proofErr w:type="spellStart"/>
      <w:r w:rsidRPr="008C78FC">
        <w:rPr>
          <w:szCs w:val="24"/>
          <w:lang w:val="hr-HR"/>
        </w:rPr>
        <w:t>costs</w:t>
      </w:r>
      <w:proofErr w:type="spellEnd"/>
      <w:r w:rsidRPr="008C78FC">
        <w:rPr>
          <w:szCs w:val="24"/>
          <w:lang w:val="hr-HR"/>
        </w:rPr>
        <w:t xml:space="preserve"> </w:t>
      </w:r>
      <w:proofErr w:type="spellStart"/>
      <w:r w:rsidRPr="008C78FC">
        <w:rPr>
          <w:szCs w:val="24"/>
          <w:lang w:val="hr-HR"/>
        </w:rPr>
        <w:t>and</w:t>
      </w:r>
      <w:proofErr w:type="spellEnd"/>
      <w:r w:rsidRPr="008C78FC">
        <w:rPr>
          <w:szCs w:val="24"/>
          <w:lang w:val="hr-HR"/>
        </w:rPr>
        <w:t xml:space="preserve"> </w:t>
      </w:r>
      <w:proofErr w:type="spellStart"/>
      <w:r w:rsidRPr="008C78FC">
        <w:rPr>
          <w:szCs w:val="24"/>
          <w:lang w:val="hr-HR"/>
        </w:rPr>
        <w:t>article</w:t>
      </w:r>
      <w:proofErr w:type="spellEnd"/>
      <w:r w:rsidRPr="008C78FC">
        <w:rPr>
          <w:szCs w:val="24"/>
          <w:lang w:val="hr-HR"/>
        </w:rPr>
        <w:t xml:space="preserve"> 101(1) </w:t>
      </w:r>
      <w:proofErr w:type="spellStart"/>
      <w:r w:rsidRPr="008C78FC">
        <w:rPr>
          <w:szCs w:val="24"/>
          <w:lang w:val="hr-HR"/>
        </w:rPr>
        <w:t>TFEU</w:t>
      </w:r>
      <w:proofErr w:type="spellEnd"/>
      <w:r w:rsidRPr="008C78FC">
        <w:rPr>
          <w:szCs w:val="24"/>
          <w:lang w:val="hr-HR"/>
        </w:rPr>
        <w:t xml:space="preserve"> </w:t>
      </w:r>
      <w:proofErr w:type="spellStart"/>
      <w:r w:rsidRPr="008C78FC">
        <w:rPr>
          <w:szCs w:val="24"/>
          <w:lang w:val="hr-HR"/>
        </w:rPr>
        <w:t>case</w:t>
      </w:r>
      <w:proofErr w:type="spellEnd"/>
      <w:r w:rsidRPr="008C78FC">
        <w:rPr>
          <w:szCs w:val="24"/>
          <w:lang w:val="hr-HR"/>
        </w:rPr>
        <w:t xml:space="preserve"> </w:t>
      </w:r>
      <w:proofErr w:type="spellStart"/>
      <w:r w:rsidRPr="008C78FC">
        <w:rPr>
          <w:szCs w:val="24"/>
          <w:lang w:val="hr-HR"/>
        </w:rPr>
        <w:t>law</w:t>
      </w:r>
      <w:proofErr w:type="spellEnd"/>
      <w:r w:rsidRPr="008C78FC">
        <w:rPr>
          <w:szCs w:val="24"/>
          <w:lang w:val="hr-HR"/>
        </w:rPr>
        <w:t xml:space="preserve">' </w:t>
      </w:r>
      <w:proofErr w:type="spellStart"/>
      <w:r w:rsidRPr="008C78FC">
        <w:rPr>
          <w:i/>
          <w:iCs/>
          <w:szCs w:val="24"/>
          <w:lang w:val="hr-HR"/>
        </w:rPr>
        <w:t>European</w:t>
      </w:r>
      <w:proofErr w:type="spellEnd"/>
      <w:r w:rsidRPr="008C78FC">
        <w:rPr>
          <w:i/>
          <w:iCs/>
          <w:szCs w:val="24"/>
          <w:lang w:val="hr-HR"/>
        </w:rPr>
        <w:t xml:space="preserve"> </w:t>
      </w:r>
      <w:proofErr w:type="spellStart"/>
      <w:r w:rsidRPr="008C78FC">
        <w:rPr>
          <w:i/>
          <w:iCs/>
          <w:szCs w:val="24"/>
          <w:lang w:val="hr-HR"/>
        </w:rPr>
        <w:t>Law</w:t>
      </w:r>
      <w:proofErr w:type="spellEnd"/>
      <w:r w:rsidRPr="008C78FC">
        <w:rPr>
          <w:i/>
          <w:iCs/>
          <w:szCs w:val="24"/>
          <w:lang w:val="hr-HR"/>
        </w:rPr>
        <w:t xml:space="preserve"> </w:t>
      </w:r>
      <w:proofErr w:type="spellStart"/>
      <w:r w:rsidRPr="008C78FC">
        <w:rPr>
          <w:i/>
          <w:iCs/>
          <w:szCs w:val="24"/>
          <w:lang w:val="hr-HR"/>
        </w:rPr>
        <w:t>Review</w:t>
      </w:r>
      <w:proofErr w:type="spellEnd"/>
      <w:r w:rsidRPr="008C78FC">
        <w:rPr>
          <w:szCs w:val="24"/>
          <w:lang w:val="hr-HR"/>
        </w:rPr>
        <w:t xml:space="preserve"> 2012, 37(5), 541-562.</w:t>
      </w:r>
    </w:p>
    <w:p w:rsidR="003E64E4" w:rsidRPr="008C78FC" w:rsidRDefault="003E64E4" w:rsidP="003E64E4">
      <w:pPr>
        <w:pStyle w:val="Odlomakpopisa"/>
        <w:numPr>
          <w:ilvl w:val="0"/>
          <w:numId w:val="4"/>
        </w:numPr>
        <w:spacing w:line="480" w:lineRule="auto"/>
        <w:rPr>
          <w:szCs w:val="24"/>
          <w:lang w:val="hr-HR"/>
        </w:rPr>
      </w:pPr>
      <w:proofErr w:type="spellStart"/>
      <w:r w:rsidRPr="008C78FC">
        <w:rPr>
          <w:lang w:val="hr-HR"/>
        </w:rPr>
        <w:t>Csongor</w:t>
      </w:r>
      <w:proofErr w:type="spellEnd"/>
      <w:r w:rsidRPr="008C78FC">
        <w:rPr>
          <w:lang w:val="hr-HR"/>
        </w:rPr>
        <w:t xml:space="preserve"> </w:t>
      </w:r>
      <w:proofErr w:type="spellStart"/>
      <w:r w:rsidRPr="008C78FC">
        <w:rPr>
          <w:lang w:val="hr-HR"/>
        </w:rPr>
        <w:t>Istvan</w:t>
      </w:r>
      <w:proofErr w:type="spellEnd"/>
      <w:r w:rsidRPr="008C78FC">
        <w:rPr>
          <w:lang w:val="hr-HR"/>
        </w:rPr>
        <w:t xml:space="preserve"> </w:t>
      </w:r>
      <w:proofErr w:type="spellStart"/>
      <w:r w:rsidRPr="008C78FC">
        <w:rPr>
          <w:lang w:val="hr-HR"/>
        </w:rPr>
        <w:t>Nagy</w:t>
      </w:r>
      <w:proofErr w:type="spellEnd"/>
      <w:r w:rsidRPr="008C78FC">
        <w:rPr>
          <w:lang w:val="hr-HR"/>
        </w:rPr>
        <w:t xml:space="preserve"> ‘</w:t>
      </w:r>
      <w:proofErr w:type="spellStart"/>
      <w:r w:rsidRPr="008C78FC">
        <w:rPr>
          <w:lang w:val="hr-HR"/>
        </w:rPr>
        <w:t>The</w:t>
      </w:r>
      <w:proofErr w:type="spellEnd"/>
      <w:r w:rsidRPr="008C78FC">
        <w:rPr>
          <w:lang w:val="hr-HR"/>
        </w:rPr>
        <w:t xml:space="preserve"> </w:t>
      </w:r>
      <w:proofErr w:type="spellStart"/>
      <w:r w:rsidRPr="008C78FC">
        <w:rPr>
          <w:lang w:val="hr-HR"/>
        </w:rPr>
        <w:t>distinction</w:t>
      </w:r>
      <w:proofErr w:type="spellEnd"/>
      <w:r w:rsidRPr="008C78FC">
        <w:rPr>
          <w:lang w:val="hr-HR"/>
        </w:rPr>
        <w:t xml:space="preserve"> </w:t>
      </w:r>
      <w:proofErr w:type="spellStart"/>
      <w:r w:rsidRPr="008C78FC">
        <w:rPr>
          <w:lang w:val="hr-HR"/>
        </w:rPr>
        <w:t>between</w:t>
      </w:r>
      <w:proofErr w:type="spellEnd"/>
      <w:r w:rsidRPr="008C78FC">
        <w:rPr>
          <w:lang w:val="hr-HR"/>
        </w:rPr>
        <w:t xml:space="preserve"> </w:t>
      </w:r>
      <w:proofErr w:type="spellStart"/>
      <w:r w:rsidRPr="008C78FC">
        <w:rPr>
          <w:lang w:val="hr-HR"/>
        </w:rPr>
        <w:t>anti</w:t>
      </w:r>
      <w:proofErr w:type="spellEnd"/>
      <w:r w:rsidRPr="008C78FC">
        <w:rPr>
          <w:lang w:val="hr-HR"/>
        </w:rPr>
        <w:t>-</w:t>
      </w:r>
      <w:proofErr w:type="spellStart"/>
      <w:r w:rsidRPr="008C78FC">
        <w:rPr>
          <w:lang w:val="hr-HR"/>
        </w:rPr>
        <w:t>competitive</w:t>
      </w:r>
      <w:proofErr w:type="spellEnd"/>
      <w:r w:rsidRPr="008C78FC">
        <w:rPr>
          <w:lang w:val="hr-HR"/>
        </w:rPr>
        <w:t xml:space="preserve"> </w:t>
      </w:r>
      <w:proofErr w:type="spellStart"/>
      <w:r w:rsidRPr="008C78FC">
        <w:rPr>
          <w:lang w:val="hr-HR"/>
        </w:rPr>
        <w:t>object</w:t>
      </w:r>
      <w:proofErr w:type="spellEnd"/>
      <w:r w:rsidRPr="008C78FC">
        <w:rPr>
          <w:lang w:val="hr-HR"/>
        </w:rPr>
        <w:t xml:space="preserve"> </w:t>
      </w:r>
      <w:proofErr w:type="spellStart"/>
      <w:r w:rsidRPr="008C78FC">
        <w:rPr>
          <w:lang w:val="hr-HR"/>
        </w:rPr>
        <w:t>and</w:t>
      </w:r>
      <w:proofErr w:type="spellEnd"/>
      <w:r w:rsidRPr="008C78FC">
        <w:rPr>
          <w:lang w:val="hr-HR"/>
        </w:rPr>
        <w:t xml:space="preserve"> </w:t>
      </w:r>
      <w:proofErr w:type="spellStart"/>
      <w:r w:rsidRPr="008C78FC">
        <w:rPr>
          <w:lang w:val="hr-HR"/>
        </w:rPr>
        <w:t>effect</w:t>
      </w:r>
      <w:proofErr w:type="spellEnd"/>
      <w:r w:rsidRPr="008C78FC">
        <w:rPr>
          <w:lang w:val="hr-HR"/>
        </w:rPr>
        <w:t xml:space="preserve"> </w:t>
      </w:r>
      <w:proofErr w:type="spellStart"/>
      <w:r w:rsidRPr="008C78FC">
        <w:rPr>
          <w:lang w:val="hr-HR"/>
        </w:rPr>
        <w:t>after</w:t>
      </w:r>
      <w:proofErr w:type="spellEnd"/>
      <w:r w:rsidRPr="008C78FC">
        <w:rPr>
          <w:lang w:val="hr-HR"/>
        </w:rPr>
        <w:t xml:space="preserve"> Allianz: </w:t>
      </w:r>
      <w:proofErr w:type="spellStart"/>
      <w:r w:rsidRPr="008C78FC">
        <w:rPr>
          <w:lang w:val="hr-HR"/>
        </w:rPr>
        <w:t>The</w:t>
      </w:r>
      <w:proofErr w:type="spellEnd"/>
      <w:r w:rsidRPr="008C78FC">
        <w:rPr>
          <w:lang w:val="hr-HR"/>
        </w:rPr>
        <w:t xml:space="preserve"> </w:t>
      </w:r>
      <w:proofErr w:type="spellStart"/>
      <w:r w:rsidRPr="008C78FC">
        <w:rPr>
          <w:lang w:val="hr-HR"/>
        </w:rPr>
        <w:t>end</w:t>
      </w:r>
      <w:proofErr w:type="spellEnd"/>
      <w:r w:rsidRPr="008C78FC">
        <w:rPr>
          <w:lang w:val="hr-HR"/>
        </w:rPr>
        <w:t xml:space="preserve"> </w:t>
      </w:r>
      <w:proofErr w:type="spellStart"/>
      <w:r w:rsidRPr="008C78FC">
        <w:rPr>
          <w:lang w:val="hr-HR"/>
        </w:rPr>
        <w:t>of</w:t>
      </w:r>
      <w:proofErr w:type="spellEnd"/>
      <w:r w:rsidRPr="008C78FC">
        <w:rPr>
          <w:lang w:val="hr-HR"/>
        </w:rPr>
        <w:t xml:space="preserve"> </w:t>
      </w:r>
      <w:proofErr w:type="spellStart"/>
      <w:r w:rsidRPr="008C78FC">
        <w:rPr>
          <w:lang w:val="hr-HR"/>
        </w:rPr>
        <w:t>coherence</w:t>
      </w:r>
      <w:proofErr w:type="spellEnd"/>
      <w:r w:rsidRPr="008C78FC">
        <w:rPr>
          <w:lang w:val="hr-HR"/>
        </w:rPr>
        <w:t xml:space="preserve"> </w:t>
      </w:r>
      <w:proofErr w:type="spellStart"/>
      <w:r w:rsidRPr="008C78FC">
        <w:rPr>
          <w:lang w:val="hr-HR"/>
        </w:rPr>
        <w:t>in</w:t>
      </w:r>
      <w:proofErr w:type="spellEnd"/>
      <w:r w:rsidRPr="008C78FC">
        <w:rPr>
          <w:lang w:val="hr-HR"/>
        </w:rPr>
        <w:t xml:space="preserve"> </w:t>
      </w:r>
      <w:proofErr w:type="spellStart"/>
      <w:r w:rsidRPr="008C78FC">
        <w:rPr>
          <w:lang w:val="hr-HR"/>
        </w:rPr>
        <w:t>competition</w:t>
      </w:r>
      <w:proofErr w:type="spellEnd"/>
      <w:r w:rsidRPr="008C78FC">
        <w:rPr>
          <w:lang w:val="hr-HR"/>
        </w:rPr>
        <w:t xml:space="preserve"> </w:t>
      </w:r>
      <w:proofErr w:type="spellStart"/>
      <w:r w:rsidRPr="008C78FC">
        <w:rPr>
          <w:lang w:val="hr-HR"/>
        </w:rPr>
        <w:t>analysis</w:t>
      </w:r>
      <w:proofErr w:type="spellEnd"/>
      <w:r w:rsidRPr="008C78FC">
        <w:rPr>
          <w:lang w:val="hr-HR"/>
        </w:rPr>
        <w:t xml:space="preserve">?’ World </w:t>
      </w:r>
      <w:proofErr w:type="spellStart"/>
      <w:r w:rsidRPr="008C78FC">
        <w:rPr>
          <w:lang w:val="hr-HR"/>
        </w:rPr>
        <w:t>Competition</w:t>
      </w:r>
      <w:proofErr w:type="spellEnd"/>
      <w:r w:rsidRPr="008C78FC">
        <w:rPr>
          <w:lang w:val="hr-HR"/>
        </w:rPr>
        <w:t>, 541</w:t>
      </w:r>
    </w:p>
    <w:p w:rsidR="003E64E4" w:rsidRPr="008C78FC" w:rsidRDefault="003E64E4" w:rsidP="003E64E4">
      <w:pPr>
        <w:pStyle w:val="Odlomakpopisa"/>
        <w:numPr>
          <w:ilvl w:val="0"/>
          <w:numId w:val="4"/>
        </w:numPr>
        <w:spacing w:after="200" w:line="480" w:lineRule="auto"/>
        <w:rPr>
          <w:szCs w:val="24"/>
          <w:lang w:val="hr-HR"/>
        </w:rPr>
      </w:pPr>
      <w:proofErr w:type="spellStart"/>
      <w:r w:rsidRPr="008C78FC">
        <w:rPr>
          <w:szCs w:val="24"/>
          <w:lang w:val="hr-HR"/>
        </w:rPr>
        <w:t>Alison</w:t>
      </w:r>
      <w:proofErr w:type="spellEnd"/>
      <w:r w:rsidRPr="008C78FC">
        <w:rPr>
          <w:szCs w:val="24"/>
          <w:lang w:val="hr-HR"/>
        </w:rPr>
        <w:t xml:space="preserve"> </w:t>
      </w:r>
      <w:proofErr w:type="spellStart"/>
      <w:r w:rsidRPr="008C78FC">
        <w:rPr>
          <w:szCs w:val="24"/>
          <w:lang w:val="hr-HR"/>
        </w:rPr>
        <w:t>Jones</w:t>
      </w:r>
      <w:proofErr w:type="spellEnd"/>
      <w:r w:rsidRPr="008C78FC">
        <w:rPr>
          <w:szCs w:val="24"/>
          <w:lang w:val="hr-HR"/>
        </w:rPr>
        <w:t xml:space="preserve"> ‘</w:t>
      </w:r>
      <w:proofErr w:type="spellStart"/>
      <w:r w:rsidRPr="008C78FC">
        <w:rPr>
          <w:szCs w:val="24"/>
          <w:lang w:val="hr-HR"/>
        </w:rPr>
        <w:t>Left</w:t>
      </w:r>
      <w:proofErr w:type="spellEnd"/>
      <w:r w:rsidRPr="008C78FC">
        <w:rPr>
          <w:szCs w:val="24"/>
          <w:lang w:val="hr-HR"/>
        </w:rPr>
        <w:t xml:space="preserve"> </w:t>
      </w:r>
      <w:proofErr w:type="spellStart"/>
      <w:r w:rsidRPr="008C78FC">
        <w:rPr>
          <w:szCs w:val="24"/>
          <w:lang w:val="hr-HR"/>
        </w:rPr>
        <w:t>behind</w:t>
      </w:r>
      <w:proofErr w:type="spellEnd"/>
      <w:r w:rsidRPr="008C78FC">
        <w:rPr>
          <w:szCs w:val="24"/>
          <w:lang w:val="hr-HR"/>
        </w:rPr>
        <w:t xml:space="preserve"> </w:t>
      </w:r>
      <w:proofErr w:type="spellStart"/>
      <w:r w:rsidRPr="008C78FC">
        <w:rPr>
          <w:szCs w:val="24"/>
          <w:lang w:val="hr-HR"/>
        </w:rPr>
        <w:t>by</w:t>
      </w:r>
      <w:proofErr w:type="spellEnd"/>
      <w:r w:rsidRPr="008C78FC">
        <w:rPr>
          <w:szCs w:val="24"/>
          <w:lang w:val="hr-HR"/>
        </w:rPr>
        <w:t xml:space="preserve"> </w:t>
      </w:r>
      <w:proofErr w:type="spellStart"/>
      <w:r w:rsidRPr="008C78FC">
        <w:rPr>
          <w:szCs w:val="24"/>
          <w:lang w:val="hr-HR"/>
        </w:rPr>
        <w:t>modernization</w:t>
      </w:r>
      <w:proofErr w:type="spellEnd"/>
      <w:r w:rsidRPr="008C78FC">
        <w:rPr>
          <w:szCs w:val="24"/>
          <w:lang w:val="hr-HR"/>
        </w:rPr>
        <w:t xml:space="preserve">? </w:t>
      </w:r>
      <w:proofErr w:type="spellStart"/>
      <w:r w:rsidRPr="008C78FC">
        <w:rPr>
          <w:szCs w:val="24"/>
          <w:lang w:val="hr-HR"/>
        </w:rPr>
        <w:t>Restrictions</w:t>
      </w:r>
      <w:proofErr w:type="spellEnd"/>
      <w:r w:rsidRPr="008C78FC">
        <w:rPr>
          <w:szCs w:val="24"/>
          <w:lang w:val="hr-HR"/>
        </w:rPr>
        <w:t xml:space="preserve"> </w:t>
      </w:r>
      <w:proofErr w:type="spellStart"/>
      <w:r w:rsidRPr="008C78FC">
        <w:rPr>
          <w:szCs w:val="24"/>
          <w:lang w:val="hr-HR"/>
        </w:rPr>
        <w:t>by</w:t>
      </w:r>
      <w:proofErr w:type="spellEnd"/>
      <w:r w:rsidRPr="008C78FC">
        <w:rPr>
          <w:szCs w:val="24"/>
          <w:lang w:val="hr-HR"/>
        </w:rPr>
        <w:t xml:space="preserve"> </w:t>
      </w:r>
      <w:proofErr w:type="spellStart"/>
      <w:r w:rsidRPr="008C78FC">
        <w:rPr>
          <w:szCs w:val="24"/>
          <w:lang w:val="hr-HR"/>
        </w:rPr>
        <w:t>object</w:t>
      </w:r>
      <w:proofErr w:type="spellEnd"/>
      <w:r w:rsidRPr="008C78FC">
        <w:rPr>
          <w:szCs w:val="24"/>
          <w:lang w:val="hr-HR"/>
        </w:rPr>
        <w:t xml:space="preserve"> </w:t>
      </w:r>
      <w:proofErr w:type="spellStart"/>
      <w:r w:rsidRPr="008C78FC">
        <w:rPr>
          <w:szCs w:val="24"/>
          <w:lang w:val="hr-HR"/>
        </w:rPr>
        <w:t>under</w:t>
      </w:r>
      <w:proofErr w:type="spellEnd"/>
      <w:r w:rsidRPr="008C78FC">
        <w:rPr>
          <w:szCs w:val="24"/>
          <w:lang w:val="hr-HR"/>
        </w:rPr>
        <w:t xml:space="preserve"> </w:t>
      </w:r>
      <w:proofErr w:type="spellStart"/>
      <w:r w:rsidRPr="008C78FC">
        <w:rPr>
          <w:szCs w:val="24"/>
          <w:lang w:val="hr-HR"/>
        </w:rPr>
        <w:t>Article</w:t>
      </w:r>
      <w:proofErr w:type="spellEnd"/>
      <w:r w:rsidRPr="008C78FC">
        <w:rPr>
          <w:szCs w:val="24"/>
          <w:lang w:val="hr-HR"/>
        </w:rPr>
        <w:t xml:space="preserve"> 101(1)’ [2010] </w:t>
      </w:r>
      <w:proofErr w:type="spellStart"/>
      <w:r w:rsidRPr="008C78FC">
        <w:rPr>
          <w:szCs w:val="24"/>
          <w:lang w:val="hr-HR"/>
        </w:rPr>
        <w:t>European</w:t>
      </w:r>
      <w:proofErr w:type="spellEnd"/>
      <w:r w:rsidRPr="008C78FC">
        <w:rPr>
          <w:szCs w:val="24"/>
          <w:lang w:val="hr-HR"/>
        </w:rPr>
        <w:t xml:space="preserve"> </w:t>
      </w:r>
      <w:proofErr w:type="spellStart"/>
      <w:r w:rsidRPr="008C78FC">
        <w:rPr>
          <w:szCs w:val="24"/>
          <w:lang w:val="hr-HR"/>
        </w:rPr>
        <w:t>Competition</w:t>
      </w:r>
      <w:proofErr w:type="spellEnd"/>
      <w:r w:rsidRPr="008C78FC">
        <w:rPr>
          <w:szCs w:val="24"/>
          <w:lang w:val="hr-HR"/>
        </w:rPr>
        <w:t xml:space="preserve"> </w:t>
      </w:r>
      <w:proofErr w:type="spellStart"/>
      <w:r w:rsidRPr="008C78FC">
        <w:rPr>
          <w:szCs w:val="24"/>
          <w:lang w:val="hr-HR"/>
        </w:rPr>
        <w:t>Journal</w:t>
      </w:r>
      <w:proofErr w:type="spellEnd"/>
      <w:r w:rsidRPr="008C78FC">
        <w:rPr>
          <w:szCs w:val="24"/>
          <w:lang w:val="hr-HR"/>
        </w:rPr>
        <w:t xml:space="preserve"> 649 </w:t>
      </w:r>
    </w:p>
    <w:p w:rsidR="003E64E4" w:rsidRPr="008C78FC" w:rsidRDefault="003E64E4" w:rsidP="003E64E4">
      <w:pPr>
        <w:pStyle w:val="Odlomakpopisa"/>
        <w:numPr>
          <w:ilvl w:val="0"/>
          <w:numId w:val="4"/>
        </w:numPr>
        <w:spacing w:after="200" w:line="480" w:lineRule="auto"/>
        <w:rPr>
          <w:szCs w:val="24"/>
          <w:lang w:val="hr-HR"/>
        </w:rPr>
      </w:pPr>
      <w:proofErr w:type="spellStart"/>
      <w:r w:rsidRPr="008C78FC">
        <w:rPr>
          <w:szCs w:val="24"/>
          <w:lang w:val="hr-HR"/>
        </w:rPr>
        <w:t>Saskia</w:t>
      </w:r>
      <w:proofErr w:type="spellEnd"/>
      <w:r w:rsidRPr="008C78FC">
        <w:rPr>
          <w:szCs w:val="24"/>
          <w:lang w:val="hr-HR"/>
        </w:rPr>
        <w:t xml:space="preserve"> King ‘</w:t>
      </w:r>
      <w:proofErr w:type="spellStart"/>
      <w:r w:rsidRPr="008C78FC">
        <w:rPr>
          <w:szCs w:val="24"/>
          <w:lang w:val="hr-HR"/>
        </w:rPr>
        <w:t>The</w:t>
      </w:r>
      <w:proofErr w:type="spellEnd"/>
      <w:r w:rsidRPr="008C78FC">
        <w:rPr>
          <w:szCs w:val="24"/>
          <w:lang w:val="hr-HR"/>
        </w:rPr>
        <w:t xml:space="preserve"> </w:t>
      </w:r>
      <w:proofErr w:type="spellStart"/>
      <w:r w:rsidRPr="008C78FC">
        <w:rPr>
          <w:szCs w:val="24"/>
          <w:lang w:val="hr-HR"/>
        </w:rPr>
        <w:t>object</w:t>
      </w:r>
      <w:proofErr w:type="spellEnd"/>
      <w:r w:rsidRPr="008C78FC">
        <w:rPr>
          <w:szCs w:val="24"/>
          <w:lang w:val="hr-HR"/>
        </w:rPr>
        <w:t xml:space="preserve"> box: </w:t>
      </w:r>
      <w:proofErr w:type="spellStart"/>
      <w:r w:rsidRPr="008C78FC">
        <w:rPr>
          <w:szCs w:val="24"/>
          <w:lang w:val="hr-HR"/>
        </w:rPr>
        <w:t>law</w:t>
      </w:r>
      <w:proofErr w:type="spellEnd"/>
      <w:r w:rsidRPr="008C78FC">
        <w:rPr>
          <w:szCs w:val="24"/>
          <w:lang w:val="hr-HR"/>
        </w:rPr>
        <w:t xml:space="preserve">, </w:t>
      </w:r>
      <w:proofErr w:type="spellStart"/>
      <w:r w:rsidRPr="008C78FC">
        <w:rPr>
          <w:szCs w:val="24"/>
          <w:lang w:val="hr-HR"/>
        </w:rPr>
        <w:t>policy</w:t>
      </w:r>
      <w:proofErr w:type="spellEnd"/>
      <w:r w:rsidRPr="008C78FC">
        <w:rPr>
          <w:szCs w:val="24"/>
          <w:lang w:val="hr-HR"/>
        </w:rPr>
        <w:t xml:space="preserve"> or </w:t>
      </w:r>
      <w:proofErr w:type="spellStart"/>
      <w:r w:rsidRPr="008C78FC">
        <w:rPr>
          <w:szCs w:val="24"/>
          <w:lang w:val="hr-HR"/>
        </w:rPr>
        <w:t>myth</w:t>
      </w:r>
      <w:proofErr w:type="spellEnd"/>
      <w:r w:rsidRPr="008C78FC">
        <w:rPr>
          <w:szCs w:val="24"/>
          <w:lang w:val="hr-HR"/>
        </w:rPr>
        <w:t xml:space="preserve">?’[2011] </w:t>
      </w:r>
      <w:proofErr w:type="spellStart"/>
      <w:r w:rsidRPr="008C78FC">
        <w:rPr>
          <w:szCs w:val="24"/>
          <w:lang w:val="hr-HR"/>
        </w:rPr>
        <w:t>European</w:t>
      </w:r>
      <w:proofErr w:type="spellEnd"/>
      <w:r w:rsidRPr="008C78FC">
        <w:rPr>
          <w:szCs w:val="24"/>
          <w:lang w:val="hr-HR"/>
        </w:rPr>
        <w:t xml:space="preserve"> </w:t>
      </w:r>
      <w:proofErr w:type="spellStart"/>
      <w:r w:rsidRPr="008C78FC">
        <w:rPr>
          <w:szCs w:val="24"/>
          <w:lang w:val="hr-HR"/>
        </w:rPr>
        <w:t>Competition</w:t>
      </w:r>
      <w:proofErr w:type="spellEnd"/>
      <w:r w:rsidRPr="008C78FC">
        <w:rPr>
          <w:szCs w:val="24"/>
          <w:lang w:val="hr-HR"/>
        </w:rPr>
        <w:t xml:space="preserve"> </w:t>
      </w:r>
      <w:proofErr w:type="spellStart"/>
      <w:r w:rsidRPr="008C78FC">
        <w:rPr>
          <w:szCs w:val="24"/>
          <w:lang w:val="hr-HR"/>
        </w:rPr>
        <w:t>Journal</w:t>
      </w:r>
      <w:proofErr w:type="spellEnd"/>
      <w:r w:rsidRPr="008C78FC">
        <w:rPr>
          <w:szCs w:val="24"/>
          <w:lang w:val="hr-HR"/>
        </w:rPr>
        <w:t xml:space="preserve"> 269</w:t>
      </w:r>
    </w:p>
    <w:p w:rsidR="003E64E4" w:rsidRPr="008C78FC" w:rsidRDefault="003E64E4" w:rsidP="003E64E4">
      <w:pPr>
        <w:pStyle w:val="Odlomakpopisa"/>
        <w:numPr>
          <w:ilvl w:val="0"/>
          <w:numId w:val="4"/>
        </w:numPr>
        <w:spacing w:after="200" w:line="480" w:lineRule="auto"/>
        <w:rPr>
          <w:szCs w:val="24"/>
          <w:lang w:val="hr-HR"/>
        </w:rPr>
      </w:pPr>
      <w:proofErr w:type="spellStart"/>
      <w:r w:rsidRPr="008C78FC">
        <w:rPr>
          <w:szCs w:val="24"/>
          <w:lang w:val="hr-HR"/>
        </w:rPr>
        <w:t>Munesh</w:t>
      </w:r>
      <w:proofErr w:type="spellEnd"/>
      <w:r w:rsidRPr="008C78FC">
        <w:rPr>
          <w:szCs w:val="24"/>
          <w:lang w:val="hr-HR"/>
        </w:rPr>
        <w:t xml:space="preserve"> </w:t>
      </w:r>
      <w:proofErr w:type="spellStart"/>
      <w:r w:rsidRPr="008C78FC">
        <w:rPr>
          <w:szCs w:val="24"/>
          <w:lang w:val="hr-HR"/>
        </w:rPr>
        <w:t>Ram</w:t>
      </w:r>
      <w:proofErr w:type="spellEnd"/>
      <w:r w:rsidRPr="008C78FC">
        <w:rPr>
          <w:szCs w:val="24"/>
          <w:lang w:val="hr-HR"/>
        </w:rPr>
        <w:t xml:space="preserve"> </w:t>
      </w:r>
      <w:proofErr w:type="spellStart"/>
      <w:r w:rsidRPr="008C78FC">
        <w:rPr>
          <w:szCs w:val="24"/>
          <w:lang w:val="hr-HR"/>
        </w:rPr>
        <w:t>Mahtani</w:t>
      </w:r>
      <w:proofErr w:type="spellEnd"/>
      <w:r w:rsidRPr="008C78FC">
        <w:rPr>
          <w:szCs w:val="24"/>
          <w:lang w:val="hr-HR"/>
        </w:rPr>
        <w:t xml:space="preserve"> ‘</w:t>
      </w:r>
      <w:proofErr w:type="spellStart"/>
      <w:r w:rsidRPr="008C78FC">
        <w:rPr>
          <w:szCs w:val="24"/>
          <w:lang w:val="hr-HR"/>
        </w:rPr>
        <w:t>Thinking</w:t>
      </w:r>
      <w:proofErr w:type="spellEnd"/>
      <w:r w:rsidRPr="008C78FC">
        <w:rPr>
          <w:szCs w:val="24"/>
          <w:lang w:val="hr-HR"/>
        </w:rPr>
        <w:t xml:space="preserve"> </w:t>
      </w:r>
      <w:proofErr w:type="spellStart"/>
      <w:r w:rsidRPr="008C78FC">
        <w:rPr>
          <w:szCs w:val="24"/>
          <w:lang w:val="hr-HR"/>
        </w:rPr>
        <w:t>outside</w:t>
      </w:r>
      <w:proofErr w:type="spellEnd"/>
      <w:r w:rsidRPr="008C78FC">
        <w:rPr>
          <w:szCs w:val="24"/>
          <w:lang w:val="hr-HR"/>
        </w:rPr>
        <w:t xml:space="preserve"> </w:t>
      </w:r>
      <w:proofErr w:type="spellStart"/>
      <w:r w:rsidRPr="008C78FC">
        <w:rPr>
          <w:szCs w:val="24"/>
          <w:lang w:val="hr-HR"/>
        </w:rPr>
        <w:t>the</w:t>
      </w:r>
      <w:proofErr w:type="spellEnd"/>
      <w:r w:rsidRPr="008C78FC">
        <w:rPr>
          <w:szCs w:val="24"/>
          <w:lang w:val="hr-HR"/>
        </w:rPr>
        <w:t xml:space="preserve"> </w:t>
      </w:r>
      <w:proofErr w:type="spellStart"/>
      <w:r w:rsidRPr="008C78FC">
        <w:rPr>
          <w:szCs w:val="24"/>
          <w:lang w:val="hr-HR"/>
        </w:rPr>
        <w:t>object</w:t>
      </w:r>
      <w:proofErr w:type="spellEnd"/>
      <w:r w:rsidRPr="008C78FC">
        <w:rPr>
          <w:szCs w:val="24"/>
          <w:lang w:val="hr-HR"/>
        </w:rPr>
        <w:t xml:space="preserve"> box: </w:t>
      </w:r>
      <w:proofErr w:type="spellStart"/>
      <w:r w:rsidRPr="008C78FC">
        <w:rPr>
          <w:szCs w:val="24"/>
          <w:lang w:val="hr-HR"/>
        </w:rPr>
        <w:t>An</w:t>
      </w:r>
      <w:proofErr w:type="spellEnd"/>
      <w:r w:rsidRPr="008C78FC">
        <w:rPr>
          <w:szCs w:val="24"/>
          <w:lang w:val="hr-HR"/>
        </w:rPr>
        <w:t xml:space="preserve"> EU </w:t>
      </w:r>
      <w:proofErr w:type="spellStart"/>
      <w:r w:rsidRPr="008C78FC">
        <w:rPr>
          <w:szCs w:val="24"/>
          <w:lang w:val="hr-HR"/>
        </w:rPr>
        <w:t>and</w:t>
      </w:r>
      <w:proofErr w:type="spellEnd"/>
      <w:r w:rsidRPr="008C78FC">
        <w:rPr>
          <w:szCs w:val="24"/>
          <w:lang w:val="hr-HR"/>
        </w:rPr>
        <w:t xml:space="preserve"> UK </w:t>
      </w:r>
      <w:proofErr w:type="spellStart"/>
      <w:r w:rsidRPr="008C78FC">
        <w:rPr>
          <w:szCs w:val="24"/>
          <w:lang w:val="hr-HR"/>
        </w:rPr>
        <w:t>perspective</w:t>
      </w:r>
      <w:proofErr w:type="spellEnd"/>
      <w:r w:rsidRPr="008C78FC">
        <w:rPr>
          <w:szCs w:val="24"/>
          <w:lang w:val="hr-HR"/>
        </w:rPr>
        <w:t xml:space="preserve">’ [2012] </w:t>
      </w:r>
      <w:proofErr w:type="spellStart"/>
      <w:r w:rsidRPr="008C78FC">
        <w:rPr>
          <w:szCs w:val="24"/>
          <w:lang w:val="hr-HR"/>
        </w:rPr>
        <w:t>European</w:t>
      </w:r>
      <w:proofErr w:type="spellEnd"/>
      <w:r w:rsidRPr="008C78FC">
        <w:rPr>
          <w:szCs w:val="24"/>
          <w:lang w:val="hr-HR"/>
        </w:rPr>
        <w:t xml:space="preserve"> </w:t>
      </w:r>
      <w:proofErr w:type="spellStart"/>
      <w:r w:rsidRPr="008C78FC">
        <w:rPr>
          <w:szCs w:val="24"/>
          <w:lang w:val="hr-HR"/>
        </w:rPr>
        <w:t>Competition</w:t>
      </w:r>
      <w:proofErr w:type="spellEnd"/>
      <w:r w:rsidRPr="008C78FC">
        <w:rPr>
          <w:szCs w:val="24"/>
          <w:lang w:val="hr-HR"/>
        </w:rPr>
        <w:t xml:space="preserve"> </w:t>
      </w:r>
      <w:proofErr w:type="spellStart"/>
      <w:r w:rsidRPr="008C78FC">
        <w:rPr>
          <w:szCs w:val="24"/>
          <w:lang w:val="hr-HR"/>
        </w:rPr>
        <w:t>Journal</w:t>
      </w:r>
      <w:proofErr w:type="spellEnd"/>
    </w:p>
    <w:p w:rsidR="003E64E4" w:rsidRPr="008C78FC" w:rsidRDefault="003E64E4" w:rsidP="003E64E4">
      <w:pPr>
        <w:pStyle w:val="Odlomakpopisa"/>
        <w:numPr>
          <w:ilvl w:val="0"/>
          <w:numId w:val="4"/>
        </w:numPr>
        <w:spacing w:after="200" w:line="480" w:lineRule="auto"/>
        <w:rPr>
          <w:szCs w:val="24"/>
          <w:lang w:val="hr-HR"/>
        </w:rPr>
      </w:pPr>
      <w:proofErr w:type="spellStart"/>
      <w:r w:rsidRPr="008C78FC">
        <w:rPr>
          <w:szCs w:val="24"/>
          <w:lang w:val="hr-HR"/>
        </w:rPr>
        <w:t>Giorgio</w:t>
      </w:r>
      <w:proofErr w:type="spellEnd"/>
      <w:r w:rsidRPr="008C78FC">
        <w:rPr>
          <w:szCs w:val="24"/>
          <w:lang w:val="hr-HR"/>
        </w:rPr>
        <w:t xml:space="preserve"> </w:t>
      </w:r>
      <w:proofErr w:type="spellStart"/>
      <w:r w:rsidRPr="008C78FC">
        <w:rPr>
          <w:rStyle w:val="Naglaeno"/>
          <w:szCs w:val="24"/>
          <w:lang w:val="hr-HR"/>
        </w:rPr>
        <w:t>Monti</w:t>
      </w:r>
      <w:proofErr w:type="spellEnd"/>
      <w:r w:rsidRPr="008C78FC">
        <w:rPr>
          <w:szCs w:val="24"/>
          <w:lang w:val="hr-HR"/>
        </w:rPr>
        <w:t>, '</w:t>
      </w:r>
      <w:proofErr w:type="spellStart"/>
      <w:r w:rsidRPr="008C78FC">
        <w:rPr>
          <w:szCs w:val="24"/>
          <w:lang w:val="hr-HR"/>
        </w:rPr>
        <w:t>Restraints</w:t>
      </w:r>
      <w:proofErr w:type="spellEnd"/>
      <w:r w:rsidRPr="008C78FC">
        <w:rPr>
          <w:szCs w:val="24"/>
          <w:lang w:val="hr-HR"/>
        </w:rPr>
        <w:t xml:space="preserve"> on </w:t>
      </w:r>
      <w:proofErr w:type="spellStart"/>
      <w:r w:rsidRPr="008C78FC">
        <w:rPr>
          <w:szCs w:val="24"/>
          <w:lang w:val="hr-HR"/>
        </w:rPr>
        <w:t>Selective</w:t>
      </w:r>
      <w:proofErr w:type="spellEnd"/>
      <w:r w:rsidRPr="008C78FC">
        <w:rPr>
          <w:szCs w:val="24"/>
          <w:lang w:val="hr-HR"/>
        </w:rPr>
        <w:t xml:space="preserve"> </w:t>
      </w:r>
      <w:proofErr w:type="spellStart"/>
      <w:r w:rsidRPr="008C78FC">
        <w:rPr>
          <w:szCs w:val="24"/>
          <w:lang w:val="hr-HR"/>
        </w:rPr>
        <w:t>Distribution</w:t>
      </w:r>
      <w:proofErr w:type="spellEnd"/>
      <w:r w:rsidRPr="008C78FC">
        <w:rPr>
          <w:szCs w:val="24"/>
          <w:lang w:val="hr-HR"/>
        </w:rPr>
        <w:t xml:space="preserve"> </w:t>
      </w:r>
      <w:proofErr w:type="spellStart"/>
      <w:r w:rsidRPr="008C78FC">
        <w:rPr>
          <w:szCs w:val="24"/>
          <w:lang w:val="hr-HR"/>
        </w:rPr>
        <w:t>Agreements</w:t>
      </w:r>
      <w:proofErr w:type="spellEnd"/>
      <w:r w:rsidRPr="008C78FC">
        <w:rPr>
          <w:szCs w:val="24"/>
          <w:lang w:val="hr-HR"/>
        </w:rPr>
        <w:t xml:space="preserve">' (2013) 36 </w:t>
      </w:r>
      <w:r w:rsidRPr="008C78FC">
        <w:rPr>
          <w:i/>
          <w:iCs/>
          <w:szCs w:val="24"/>
          <w:lang w:val="hr-HR"/>
        </w:rPr>
        <w:t xml:space="preserve">World </w:t>
      </w:r>
      <w:proofErr w:type="spellStart"/>
      <w:r w:rsidRPr="008C78FC">
        <w:rPr>
          <w:i/>
          <w:iCs/>
          <w:szCs w:val="24"/>
          <w:lang w:val="hr-HR"/>
        </w:rPr>
        <w:t>Competition</w:t>
      </w:r>
      <w:proofErr w:type="spellEnd"/>
      <w:r w:rsidRPr="008C78FC">
        <w:rPr>
          <w:szCs w:val="24"/>
          <w:lang w:val="hr-HR"/>
        </w:rPr>
        <w:t xml:space="preserve">, </w:t>
      </w:r>
      <w:proofErr w:type="spellStart"/>
      <w:r w:rsidRPr="008C78FC">
        <w:rPr>
          <w:szCs w:val="24"/>
          <w:lang w:val="hr-HR"/>
        </w:rPr>
        <w:t>Issue</w:t>
      </w:r>
      <w:proofErr w:type="spellEnd"/>
      <w:r w:rsidRPr="008C78FC">
        <w:rPr>
          <w:szCs w:val="24"/>
          <w:lang w:val="hr-HR"/>
        </w:rPr>
        <w:t xml:space="preserve"> 4, </w:t>
      </w:r>
      <w:proofErr w:type="spellStart"/>
      <w:r w:rsidRPr="008C78FC">
        <w:rPr>
          <w:szCs w:val="24"/>
          <w:lang w:val="hr-HR"/>
        </w:rPr>
        <w:t>pp</w:t>
      </w:r>
      <w:proofErr w:type="spellEnd"/>
      <w:r w:rsidRPr="008C78FC">
        <w:rPr>
          <w:szCs w:val="24"/>
          <w:lang w:val="hr-HR"/>
        </w:rPr>
        <w:t>. 489–511</w:t>
      </w:r>
    </w:p>
    <w:p w:rsidR="003E64E4" w:rsidRPr="008C78FC" w:rsidRDefault="003E64E4" w:rsidP="003E64E4">
      <w:pPr>
        <w:pStyle w:val="Odlomakpopisa"/>
        <w:numPr>
          <w:ilvl w:val="0"/>
          <w:numId w:val="4"/>
        </w:numPr>
        <w:spacing w:after="200" w:line="480" w:lineRule="auto"/>
        <w:rPr>
          <w:szCs w:val="24"/>
          <w:lang w:val="hr-HR"/>
        </w:rPr>
      </w:pPr>
      <w:proofErr w:type="spellStart"/>
      <w:r w:rsidRPr="008C78FC">
        <w:rPr>
          <w:szCs w:val="24"/>
          <w:lang w:val="hr-HR"/>
        </w:rPr>
        <w:t>Okeoghene</w:t>
      </w:r>
      <w:proofErr w:type="spellEnd"/>
      <w:r w:rsidRPr="008C78FC">
        <w:rPr>
          <w:szCs w:val="24"/>
          <w:lang w:val="hr-HR"/>
        </w:rPr>
        <w:t xml:space="preserve"> </w:t>
      </w:r>
      <w:proofErr w:type="spellStart"/>
      <w:r w:rsidRPr="008C78FC">
        <w:rPr>
          <w:szCs w:val="24"/>
          <w:lang w:val="hr-HR"/>
        </w:rPr>
        <w:t>Odudu</w:t>
      </w:r>
      <w:proofErr w:type="spellEnd"/>
      <w:r w:rsidRPr="008C78FC">
        <w:rPr>
          <w:szCs w:val="24"/>
          <w:lang w:val="hr-HR"/>
        </w:rPr>
        <w:t>, ‘</w:t>
      </w:r>
      <w:proofErr w:type="spellStart"/>
      <w:r w:rsidRPr="008C78FC">
        <w:rPr>
          <w:szCs w:val="24"/>
          <w:lang w:val="hr-HR"/>
        </w:rPr>
        <w:t>Interpreting</w:t>
      </w:r>
      <w:proofErr w:type="spellEnd"/>
      <w:r w:rsidRPr="008C78FC">
        <w:rPr>
          <w:szCs w:val="24"/>
          <w:lang w:val="hr-HR"/>
        </w:rPr>
        <w:t xml:space="preserve"> </w:t>
      </w:r>
      <w:proofErr w:type="spellStart"/>
      <w:r w:rsidRPr="008C78FC">
        <w:rPr>
          <w:szCs w:val="24"/>
          <w:lang w:val="hr-HR"/>
        </w:rPr>
        <w:t>Article</w:t>
      </w:r>
      <w:proofErr w:type="spellEnd"/>
      <w:r w:rsidRPr="008C78FC">
        <w:rPr>
          <w:szCs w:val="24"/>
          <w:lang w:val="hr-HR"/>
        </w:rPr>
        <w:t xml:space="preserve"> 81(1): </w:t>
      </w:r>
      <w:proofErr w:type="spellStart"/>
      <w:r w:rsidRPr="008C78FC">
        <w:rPr>
          <w:szCs w:val="24"/>
          <w:lang w:val="hr-HR"/>
        </w:rPr>
        <w:t>Object</w:t>
      </w:r>
      <w:proofErr w:type="spellEnd"/>
      <w:r w:rsidRPr="008C78FC">
        <w:rPr>
          <w:szCs w:val="24"/>
          <w:lang w:val="hr-HR"/>
        </w:rPr>
        <w:t xml:space="preserve"> as </w:t>
      </w:r>
      <w:proofErr w:type="spellStart"/>
      <w:r w:rsidRPr="008C78FC">
        <w:rPr>
          <w:szCs w:val="24"/>
          <w:lang w:val="hr-HR"/>
        </w:rPr>
        <w:t>Subjective</w:t>
      </w:r>
      <w:proofErr w:type="spellEnd"/>
      <w:r w:rsidRPr="008C78FC">
        <w:rPr>
          <w:szCs w:val="24"/>
          <w:lang w:val="hr-HR"/>
        </w:rPr>
        <w:t xml:space="preserve"> </w:t>
      </w:r>
      <w:proofErr w:type="spellStart"/>
      <w:r w:rsidRPr="008C78FC">
        <w:rPr>
          <w:szCs w:val="24"/>
          <w:lang w:val="hr-HR"/>
        </w:rPr>
        <w:t>Intention</w:t>
      </w:r>
      <w:proofErr w:type="spellEnd"/>
      <w:r w:rsidRPr="008C78FC">
        <w:rPr>
          <w:szCs w:val="24"/>
          <w:lang w:val="hr-HR"/>
        </w:rPr>
        <w:t xml:space="preserve">’(2001) 26 </w:t>
      </w:r>
      <w:proofErr w:type="spellStart"/>
      <w:r w:rsidRPr="008C78FC">
        <w:rPr>
          <w:szCs w:val="24"/>
          <w:lang w:val="hr-HR"/>
        </w:rPr>
        <w:t>European</w:t>
      </w:r>
      <w:proofErr w:type="spellEnd"/>
      <w:r w:rsidRPr="008C78FC">
        <w:rPr>
          <w:szCs w:val="24"/>
          <w:lang w:val="hr-HR"/>
        </w:rPr>
        <w:t xml:space="preserve"> </w:t>
      </w:r>
      <w:proofErr w:type="spellStart"/>
      <w:r w:rsidRPr="008C78FC">
        <w:rPr>
          <w:szCs w:val="24"/>
          <w:lang w:val="hr-HR"/>
        </w:rPr>
        <w:t>Law</w:t>
      </w:r>
      <w:proofErr w:type="spellEnd"/>
      <w:r w:rsidRPr="008C78FC">
        <w:rPr>
          <w:szCs w:val="24"/>
          <w:lang w:val="hr-HR"/>
        </w:rPr>
        <w:t xml:space="preserve"> </w:t>
      </w:r>
      <w:proofErr w:type="spellStart"/>
      <w:r w:rsidRPr="008C78FC">
        <w:rPr>
          <w:szCs w:val="24"/>
          <w:lang w:val="hr-HR"/>
        </w:rPr>
        <w:t>Review</w:t>
      </w:r>
      <w:proofErr w:type="spellEnd"/>
      <w:r w:rsidRPr="008C78FC">
        <w:rPr>
          <w:szCs w:val="24"/>
          <w:lang w:val="hr-HR"/>
        </w:rPr>
        <w:t xml:space="preserve"> 60-75.</w:t>
      </w:r>
    </w:p>
    <w:p w:rsidR="003E64E4" w:rsidRPr="008C78FC" w:rsidRDefault="003E64E4" w:rsidP="003E64E4">
      <w:pPr>
        <w:pStyle w:val="Odlomakpopisa"/>
        <w:numPr>
          <w:ilvl w:val="0"/>
          <w:numId w:val="4"/>
        </w:numPr>
        <w:spacing w:after="200" w:line="480" w:lineRule="auto"/>
        <w:rPr>
          <w:szCs w:val="24"/>
          <w:lang w:val="hr-HR"/>
        </w:rPr>
      </w:pPr>
      <w:r w:rsidRPr="008C78FC">
        <w:rPr>
          <w:szCs w:val="24"/>
          <w:lang w:val="hr-HR"/>
        </w:rPr>
        <w:lastRenderedPageBreak/>
        <w:t>‘</w:t>
      </w:r>
      <w:proofErr w:type="spellStart"/>
      <w:r w:rsidRPr="008C78FC">
        <w:rPr>
          <w:szCs w:val="24"/>
          <w:lang w:val="hr-HR"/>
        </w:rPr>
        <w:t>Interpreting</w:t>
      </w:r>
      <w:proofErr w:type="spellEnd"/>
      <w:r w:rsidRPr="008C78FC">
        <w:rPr>
          <w:szCs w:val="24"/>
          <w:lang w:val="hr-HR"/>
        </w:rPr>
        <w:t xml:space="preserve"> </w:t>
      </w:r>
      <w:proofErr w:type="spellStart"/>
      <w:r w:rsidRPr="008C78FC">
        <w:rPr>
          <w:szCs w:val="24"/>
          <w:lang w:val="hr-HR"/>
        </w:rPr>
        <w:t>Article</w:t>
      </w:r>
      <w:proofErr w:type="spellEnd"/>
      <w:r w:rsidRPr="008C78FC">
        <w:rPr>
          <w:szCs w:val="24"/>
          <w:lang w:val="hr-HR"/>
        </w:rPr>
        <w:t xml:space="preserve"> 81(1): </w:t>
      </w:r>
      <w:proofErr w:type="spellStart"/>
      <w:r w:rsidRPr="008C78FC">
        <w:rPr>
          <w:szCs w:val="24"/>
          <w:lang w:val="hr-HR"/>
        </w:rPr>
        <w:t>Demonstrating</w:t>
      </w:r>
      <w:proofErr w:type="spellEnd"/>
      <w:r w:rsidRPr="008C78FC">
        <w:rPr>
          <w:szCs w:val="24"/>
          <w:lang w:val="hr-HR"/>
        </w:rPr>
        <w:t xml:space="preserve"> </w:t>
      </w:r>
      <w:proofErr w:type="spellStart"/>
      <w:r w:rsidRPr="008C78FC">
        <w:rPr>
          <w:szCs w:val="24"/>
          <w:lang w:val="hr-HR"/>
        </w:rPr>
        <w:t>Restrictive</w:t>
      </w:r>
      <w:proofErr w:type="spellEnd"/>
      <w:r w:rsidRPr="008C78FC">
        <w:rPr>
          <w:szCs w:val="24"/>
          <w:lang w:val="hr-HR"/>
        </w:rPr>
        <w:t xml:space="preserve"> </w:t>
      </w:r>
      <w:proofErr w:type="spellStart"/>
      <w:r w:rsidRPr="008C78FC">
        <w:rPr>
          <w:szCs w:val="24"/>
          <w:lang w:val="hr-HR"/>
        </w:rPr>
        <w:t>Effect</w:t>
      </w:r>
      <w:proofErr w:type="spellEnd"/>
      <w:r w:rsidRPr="008C78FC">
        <w:rPr>
          <w:szCs w:val="24"/>
          <w:lang w:val="hr-HR"/>
        </w:rPr>
        <w:t xml:space="preserve">’ (2001) 26 </w:t>
      </w:r>
      <w:proofErr w:type="spellStart"/>
      <w:r w:rsidRPr="008C78FC">
        <w:rPr>
          <w:szCs w:val="24"/>
          <w:lang w:val="hr-HR"/>
        </w:rPr>
        <w:t>European</w:t>
      </w:r>
      <w:proofErr w:type="spellEnd"/>
      <w:r w:rsidRPr="008C78FC">
        <w:rPr>
          <w:szCs w:val="24"/>
          <w:lang w:val="hr-HR"/>
        </w:rPr>
        <w:t xml:space="preserve"> </w:t>
      </w:r>
      <w:proofErr w:type="spellStart"/>
      <w:r w:rsidRPr="008C78FC">
        <w:rPr>
          <w:szCs w:val="24"/>
          <w:lang w:val="hr-HR"/>
        </w:rPr>
        <w:t>Law</w:t>
      </w:r>
      <w:proofErr w:type="spellEnd"/>
      <w:r w:rsidRPr="008C78FC">
        <w:rPr>
          <w:szCs w:val="24"/>
          <w:lang w:val="hr-HR"/>
        </w:rPr>
        <w:t xml:space="preserve"> </w:t>
      </w:r>
      <w:proofErr w:type="spellStart"/>
      <w:r w:rsidRPr="008C78FC">
        <w:rPr>
          <w:szCs w:val="24"/>
          <w:lang w:val="hr-HR"/>
        </w:rPr>
        <w:t>Review</w:t>
      </w:r>
      <w:proofErr w:type="spellEnd"/>
      <w:r w:rsidRPr="008C78FC">
        <w:rPr>
          <w:szCs w:val="24"/>
          <w:lang w:val="hr-HR"/>
        </w:rPr>
        <w:t xml:space="preserve"> 261-274.</w:t>
      </w:r>
    </w:p>
    <w:p w:rsidR="003E64E4" w:rsidRPr="008C78FC" w:rsidRDefault="003E64E4" w:rsidP="003E64E4">
      <w:pPr>
        <w:pStyle w:val="Odlomakpopisa"/>
        <w:numPr>
          <w:ilvl w:val="0"/>
          <w:numId w:val="4"/>
        </w:numPr>
        <w:spacing w:after="200" w:line="480" w:lineRule="auto"/>
        <w:rPr>
          <w:szCs w:val="24"/>
          <w:lang w:val="hr-HR"/>
        </w:rPr>
      </w:pPr>
      <w:r w:rsidRPr="008C78FC">
        <w:rPr>
          <w:szCs w:val="24"/>
          <w:lang w:val="hr-HR"/>
        </w:rPr>
        <w:t>‘</w:t>
      </w:r>
      <w:proofErr w:type="spellStart"/>
      <w:r w:rsidRPr="008C78FC">
        <w:rPr>
          <w:szCs w:val="24"/>
          <w:lang w:val="hr-HR"/>
        </w:rPr>
        <w:t>Interpreting</w:t>
      </w:r>
      <w:proofErr w:type="spellEnd"/>
      <w:r w:rsidRPr="008C78FC">
        <w:rPr>
          <w:szCs w:val="24"/>
          <w:lang w:val="hr-HR"/>
        </w:rPr>
        <w:t xml:space="preserve"> </w:t>
      </w:r>
      <w:proofErr w:type="spellStart"/>
      <w:r w:rsidRPr="008C78FC">
        <w:rPr>
          <w:szCs w:val="24"/>
          <w:lang w:val="hr-HR"/>
        </w:rPr>
        <w:t>Article</w:t>
      </w:r>
      <w:proofErr w:type="spellEnd"/>
      <w:r w:rsidRPr="008C78FC">
        <w:rPr>
          <w:szCs w:val="24"/>
          <w:lang w:val="hr-HR"/>
        </w:rPr>
        <w:t xml:space="preserve"> 81(1): </w:t>
      </w:r>
      <w:proofErr w:type="spellStart"/>
      <w:r w:rsidRPr="008C78FC">
        <w:rPr>
          <w:szCs w:val="24"/>
          <w:lang w:val="hr-HR"/>
        </w:rPr>
        <w:t>The</w:t>
      </w:r>
      <w:proofErr w:type="spellEnd"/>
      <w:r w:rsidRPr="008C78FC">
        <w:rPr>
          <w:szCs w:val="24"/>
          <w:lang w:val="hr-HR"/>
        </w:rPr>
        <w:t xml:space="preserve"> </w:t>
      </w:r>
      <w:proofErr w:type="spellStart"/>
      <w:r w:rsidRPr="008C78FC">
        <w:rPr>
          <w:szCs w:val="24"/>
          <w:lang w:val="hr-HR"/>
        </w:rPr>
        <w:t>Object</w:t>
      </w:r>
      <w:proofErr w:type="spellEnd"/>
      <w:r w:rsidRPr="008C78FC">
        <w:rPr>
          <w:szCs w:val="24"/>
          <w:lang w:val="hr-HR"/>
        </w:rPr>
        <w:t xml:space="preserve"> </w:t>
      </w:r>
      <w:proofErr w:type="spellStart"/>
      <w:r w:rsidRPr="008C78FC">
        <w:rPr>
          <w:szCs w:val="24"/>
          <w:lang w:val="hr-HR"/>
        </w:rPr>
        <w:t>Requirement</w:t>
      </w:r>
      <w:proofErr w:type="spellEnd"/>
      <w:r w:rsidRPr="008C78FC">
        <w:rPr>
          <w:szCs w:val="24"/>
          <w:lang w:val="hr-HR"/>
        </w:rPr>
        <w:t xml:space="preserve"> </w:t>
      </w:r>
      <w:proofErr w:type="spellStart"/>
      <w:r w:rsidRPr="008C78FC">
        <w:rPr>
          <w:szCs w:val="24"/>
          <w:lang w:val="hr-HR"/>
        </w:rPr>
        <w:t>Revisited</w:t>
      </w:r>
      <w:proofErr w:type="spellEnd"/>
      <w:r w:rsidRPr="008C78FC">
        <w:rPr>
          <w:szCs w:val="24"/>
          <w:lang w:val="hr-HR"/>
        </w:rPr>
        <w:t xml:space="preserve">’(2001) 26 </w:t>
      </w:r>
      <w:proofErr w:type="spellStart"/>
      <w:r w:rsidRPr="008C78FC">
        <w:rPr>
          <w:szCs w:val="24"/>
          <w:lang w:val="hr-HR"/>
        </w:rPr>
        <w:t>European</w:t>
      </w:r>
      <w:proofErr w:type="spellEnd"/>
      <w:r w:rsidRPr="008C78FC">
        <w:rPr>
          <w:szCs w:val="24"/>
          <w:lang w:val="hr-HR"/>
        </w:rPr>
        <w:t xml:space="preserve"> </w:t>
      </w:r>
      <w:proofErr w:type="spellStart"/>
      <w:r w:rsidRPr="008C78FC">
        <w:rPr>
          <w:szCs w:val="24"/>
          <w:lang w:val="hr-HR"/>
        </w:rPr>
        <w:t>Law</w:t>
      </w:r>
      <w:proofErr w:type="spellEnd"/>
      <w:r w:rsidRPr="008C78FC">
        <w:rPr>
          <w:szCs w:val="24"/>
          <w:lang w:val="hr-HR"/>
        </w:rPr>
        <w:t xml:space="preserve"> </w:t>
      </w:r>
      <w:proofErr w:type="spellStart"/>
      <w:r w:rsidRPr="008C78FC">
        <w:rPr>
          <w:szCs w:val="24"/>
          <w:lang w:val="hr-HR"/>
        </w:rPr>
        <w:t>Review</w:t>
      </w:r>
      <w:proofErr w:type="spellEnd"/>
      <w:r w:rsidRPr="008C78FC">
        <w:rPr>
          <w:szCs w:val="24"/>
          <w:lang w:val="hr-HR"/>
        </w:rPr>
        <w:t xml:space="preserve"> 379-390.</w:t>
      </w:r>
    </w:p>
    <w:p w:rsidR="003E64E4" w:rsidRPr="008C78FC" w:rsidRDefault="003E64E4" w:rsidP="003E64E4">
      <w:pPr>
        <w:pStyle w:val="Odlomakpopisa"/>
        <w:numPr>
          <w:ilvl w:val="0"/>
          <w:numId w:val="4"/>
        </w:numPr>
        <w:spacing w:line="480" w:lineRule="auto"/>
        <w:rPr>
          <w:szCs w:val="24"/>
          <w:lang w:val="hr-HR"/>
        </w:rPr>
      </w:pPr>
      <w:proofErr w:type="spellStart"/>
      <w:r w:rsidRPr="008C78FC">
        <w:rPr>
          <w:szCs w:val="24"/>
          <w:lang w:val="hr-HR"/>
        </w:rPr>
        <w:t>Poščić</w:t>
      </w:r>
      <w:proofErr w:type="spellEnd"/>
      <w:r w:rsidRPr="008C78FC">
        <w:rPr>
          <w:szCs w:val="24"/>
          <w:lang w:val="hr-HR"/>
        </w:rPr>
        <w:t xml:space="preserve">, A., </w:t>
      </w:r>
      <w:r w:rsidRPr="008C78FC">
        <w:rPr>
          <w:i/>
          <w:szCs w:val="24"/>
          <w:lang w:val="hr-HR"/>
        </w:rPr>
        <w:t>Zabranjeni sporazumi u europskom pravu tržišnog natjecanja, Zbornik Pravnog fakultet u Rijeci, v. 32, br.1, 319-350 (2011)</w:t>
      </w:r>
    </w:p>
    <w:p w:rsidR="003E64E4" w:rsidRPr="008C78FC" w:rsidRDefault="003E64E4" w:rsidP="003E64E4">
      <w:pPr>
        <w:pStyle w:val="Odlomakpopisa"/>
        <w:numPr>
          <w:ilvl w:val="0"/>
          <w:numId w:val="4"/>
        </w:numPr>
        <w:spacing w:line="480" w:lineRule="auto"/>
        <w:rPr>
          <w:szCs w:val="24"/>
          <w:lang w:val="hr-HR"/>
        </w:rPr>
      </w:pPr>
      <w:proofErr w:type="spellStart"/>
      <w:r w:rsidRPr="008C78FC">
        <w:rPr>
          <w:lang w:val="hr-HR"/>
        </w:rPr>
        <w:t>Svetlicinii</w:t>
      </w:r>
      <w:proofErr w:type="spellEnd"/>
      <w:r w:rsidRPr="008C78FC">
        <w:rPr>
          <w:lang w:val="hr-HR"/>
        </w:rPr>
        <w:t xml:space="preserve">, </w:t>
      </w:r>
      <w:proofErr w:type="spellStart"/>
      <w:r w:rsidRPr="008C78FC">
        <w:rPr>
          <w:lang w:val="hr-HR"/>
        </w:rPr>
        <w:t>Alexandr</w:t>
      </w:r>
      <w:proofErr w:type="spellEnd"/>
      <w:r w:rsidRPr="008C78FC">
        <w:rPr>
          <w:lang w:val="hr-HR"/>
        </w:rPr>
        <w:t>, '</w:t>
      </w:r>
      <w:proofErr w:type="spellStart"/>
      <w:r w:rsidRPr="008C78FC">
        <w:rPr>
          <w:lang w:val="hr-HR"/>
        </w:rPr>
        <w:t>Objective</w:t>
      </w:r>
      <w:proofErr w:type="spellEnd"/>
      <w:r w:rsidRPr="008C78FC">
        <w:rPr>
          <w:lang w:val="hr-HR"/>
        </w:rPr>
        <w:t xml:space="preserve"> </w:t>
      </w:r>
      <w:proofErr w:type="spellStart"/>
      <w:r w:rsidRPr="008C78FC">
        <w:rPr>
          <w:lang w:val="hr-HR"/>
        </w:rPr>
        <w:t>Justifications</w:t>
      </w:r>
      <w:proofErr w:type="spellEnd"/>
      <w:r w:rsidRPr="008C78FC">
        <w:rPr>
          <w:lang w:val="hr-HR"/>
        </w:rPr>
        <w:t xml:space="preserve">' </w:t>
      </w:r>
      <w:proofErr w:type="spellStart"/>
      <w:r w:rsidRPr="008C78FC">
        <w:rPr>
          <w:lang w:val="hr-HR"/>
        </w:rPr>
        <w:t>of</w:t>
      </w:r>
      <w:proofErr w:type="spellEnd"/>
      <w:r w:rsidRPr="008C78FC">
        <w:rPr>
          <w:lang w:val="hr-HR"/>
        </w:rPr>
        <w:t xml:space="preserve"> '</w:t>
      </w:r>
      <w:proofErr w:type="spellStart"/>
      <w:r w:rsidRPr="008C78FC">
        <w:rPr>
          <w:lang w:val="hr-HR"/>
        </w:rPr>
        <w:t>Restrictions</w:t>
      </w:r>
      <w:proofErr w:type="spellEnd"/>
      <w:r w:rsidRPr="008C78FC">
        <w:rPr>
          <w:lang w:val="hr-HR"/>
        </w:rPr>
        <w:t xml:space="preserve"> </w:t>
      </w:r>
      <w:proofErr w:type="spellStart"/>
      <w:r w:rsidRPr="008C78FC">
        <w:rPr>
          <w:lang w:val="hr-HR"/>
        </w:rPr>
        <w:t>by</w:t>
      </w:r>
      <w:proofErr w:type="spellEnd"/>
      <w:r w:rsidRPr="008C78FC">
        <w:rPr>
          <w:lang w:val="hr-HR"/>
        </w:rPr>
        <w:t xml:space="preserve"> </w:t>
      </w:r>
      <w:proofErr w:type="spellStart"/>
      <w:r w:rsidRPr="008C78FC">
        <w:rPr>
          <w:lang w:val="hr-HR"/>
        </w:rPr>
        <w:t>Object</w:t>
      </w:r>
      <w:proofErr w:type="spellEnd"/>
      <w:r w:rsidRPr="008C78FC">
        <w:rPr>
          <w:lang w:val="hr-HR"/>
        </w:rPr>
        <w:t xml:space="preserve">' </w:t>
      </w:r>
      <w:proofErr w:type="spellStart"/>
      <w:r w:rsidRPr="008C78FC">
        <w:rPr>
          <w:lang w:val="hr-HR"/>
        </w:rPr>
        <w:t>in</w:t>
      </w:r>
      <w:proofErr w:type="spellEnd"/>
      <w:r w:rsidRPr="008C78FC">
        <w:rPr>
          <w:lang w:val="hr-HR"/>
        </w:rPr>
        <w:t xml:space="preserve"> </w:t>
      </w:r>
      <w:proofErr w:type="spellStart"/>
      <w:r w:rsidRPr="008C78FC">
        <w:rPr>
          <w:lang w:val="hr-HR"/>
        </w:rPr>
        <w:t>Pierre</w:t>
      </w:r>
      <w:proofErr w:type="spellEnd"/>
      <w:r w:rsidRPr="008C78FC">
        <w:rPr>
          <w:lang w:val="hr-HR"/>
        </w:rPr>
        <w:t xml:space="preserve"> </w:t>
      </w:r>
      <w:proofErr w:type="spellStart"/>
      <w:r w:rsidRPr="008C78FC">
        <w:rPr>
          <w:lang w:val="hr-HR"/>
        </w:rPr>
        <w:t>Fabre</w:t>
      </w:r>
      <w:proofErr w:type="spellEnd"/>
      <w:r w:rsidRPr="008C78FC">
        <w:rPr>
          <w:lang w:val="hr-HR"/>
        </w:rPr>
        <w:t xml:space="preserve">: A More </w:t>
      </w:r>
      <w:proofErr w:type="spellStart"/>
      <w:r w:rsidRPr="008C78FC">
        <w:rPr>
          <w:lang w:val="hr-HR"/>
        </w:rPr>
        <w:t>Economic</w:t>
      </w:r>
      <w:proofErr w:type="spellEnd"/>
      <w:r w:rsidRPr="008C78FC">
        <w:rPr>
          <w:lang w:val="hr-HR"/>
        </w:rPr>
        <w:t xml:space="preserve"> </w:t>
      </w:r>
      <w:proofErr w:type="spellStart"/>
      <w:r w:rsidRPr="008C78FC">
        <w:rPr>
          <w:lang w:val="hr-HR"/>
        </w:rPr>
        <w:t>Approach</w:t>
      </w:r>
      <w:proofErr w:type="spellEnd"/>
      <w:r w:rsidRPr="008C78FC">
        <w:rPr>
          <w:lang w:val="hr-HR"/>
        </w:rPr>
        <w:t xml:space="preserve"> to </w:t>
      </w:r>
      <w:proofErr w:type="spellStart"/>
      <w:r w:rsidRPr="008C78FC">
        <w:rPr>
          <w:lang w:val="hr-HR"/>
        </w:rPr>
        <w:t>Article</w:t>
      </w:r>
      <w:proofErr w:type="spellEnd"/>
      <w:r w:rsidRPr="008C78FC">
        <w:rPr>
          <w:lang w:val="hr-HR"/>
        </w:rPr>
        <w:t xml:space="preserve"> 101(1) </w:t>
      </w:r>
      <w:proofErr w:type="spellStart"/>
      <w:r w:rsidRPr="008C78FC">
        <w:rPr>
          <w:lang w:val="hr-HR"/>
        </w:rPr>
        <w:t>TFEU</w:t>
      </w:r>
      <w:proofErr w:type="spellEnd"/>
      <w:r w:rsidRPr="008C78FC">
        <w:rPr>
          <w:lang w:val="hr-HR"/>
        </w:rPr>
        <w:t>? (</w:t>
      </w:r>
      <w:proofErr w:type="spellStart"/>
      <w:r w:rsidRPr="008C78FC">
        <w:rPr>
          <w:lang w:val="hr-HR"/>
        </w:rPr>
        <w:t>November</w:t>
      </w:r>
      <w:proofErr w:type="spellEnd"/>
      <w:r w:rsidRPr="008C78FC">
        <w:rPr>
          <w:lang w:val="hr-HR"/>
        </w:rPr>
        <w:t xml:space="preserve"> 1, 2011). </w:t>
      </w:r>
      <w:proofErr w:type="spellStart"/>
      <w:r w:rsidRPr="008C78FC">
        <w:rPr>
          <w:lang w:val="hr-HR"/>
        </w:rPr>
        <w:t>European</w:t>
      </w:r>
      <w:proofErr w:type="spellEnd"/>
      <w:r w:rsidRPr="008C78FC">
        <w:rPr>
          <w:lang w:val="hr-HR"/>
        </w:rPr>
        <w:t xml:space="preserve"> </w:t>
      </w:r>
      <w:proofErr w:type="spellStart"/>
      <w:r w:rsidRPr="008C78FC">
        <w:rPr>
          <w:lang w:val="hr-HR"/>
        </w:rPr>
        <w:t>Law</w:t>
      </w:r>
      <w:proofErr w:type="spellEnd"/>
      <w:r w:rsidRPr="008C78FC">
        <w:rPr>
          <w:lang w:val="hr-HR"/>
        </w:rPr>
        <w:t xml:space="preserve"> Reporter, No. 11, </w:t>
      </w:r>
      <w:proofErr w:type="spellStart"/>
      <w:r w:rsidRPr="008C78FC">
        <w:rPr>
          <w:lang w:val="hr-HR"/>
        </w:rPr>
        <w:t>pp</w:t>
      </w:r>
      <w:proofErr w:type="spellEnd"/>
      <w:r w:rsidRPr="008C78FC">
        <w:rPr>
          <w:lang w:val="hr-HR"/>
        </w:rPr>
        <w:t xml:space="preserve">. 348-353, 2011. </w:t>
      </w:r>
      <w:proofErr w:type="spellStart"/>
      <w:r w:rsidRPr="008C78FC">
        <w:rPr>
          <w:lang w:val="hr-HR"/>
        </w:rPr>
        <w:t>Available</w:t>
      </w:r>
      <w:proofErr w:type="spellEnd"/>
      <w:r w:rsidRPr="008C78FC">
        <w:rPr>
          <w:lang w:val="hr-HR"/>
        </w:rPr>
        <w:t xml:space="preserve"> at </w:t>
      </w:r>
      <w:proofErr w:type="spellStart"/>
      <w:r w:rsidRPr="008C78FC">
        <w:rPr>
          <w:lang w:val="hr-HR"/>
        </w:rPr>
        <w:t>SSRN</w:t>
      </w:r>
      <w:proofErr w:type="spellEnd"/>
      <w:r w:rsidRPr="008C78FC">
        <w:rPr>
          <w:lang w:val="hr-HR"/>
        </w:rPr>
        <w:t xml:space="preserve">: </w:t>
      </w:r>
      <w:hyperlink r:id="rId10" w:history="1">
        <w:r w:rsidRPr="008C78FC">
          <w:rPr>
            <w:rStyle w:val="Hiperveza"/>
            <w:lang w:val="hr-HR"/>
          </w:rPr>
          <w:t>http://ssrn.com/abstract=1991330</w:t>
        </w:r>
      </w:hyperlink>
    </w:p>
    <w:p w:rsidR="003E64E4" w:rsidRPr="008C78FC" w:rsidRDefault="003E64E4" w:rsidP="003E64E4">
      <w:pPr>
        <w:spacing w:line="240" w:lineRule="auto"/>
        <w:jc w:val="left"/>
        <w:rPr>
          <w:lang w:val="hr-HR"/>
        </w:rPr>
      </w:pPr>
    </w:p>
    <w:p w:rsidR="00B0158D" w:rsidRPr="008C78FC" w:rsidRDefault="00B0158D" w:rsidP="00B0158D">
      <w:pPr>
        <w:spacing w:line="240" w:lineRule="auto"/>
        <w:jc w:val="left"/>
        <w:rPr>
          <w:lang w:val="hr-HR"/>
        </w:rPr>
      </w:pPr>
      <w:bookmarkStart w:id="19" w:name="_GoBack"/>
      <w:bookmarkEnd w:id="19"/>
    </w:p>
    <w:sectPr w:rsidR="00B0158D" w:rsidRPr="008C78FC" w:rsidSect="00F94F7B">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F6B" w:rsidRDefault="00751F6B" w:rsidP="007D2C79">
      <w:pPr>
        <w:spacing w:line="240" w:lineRule="auto"/>
      </w:pPr>
      <w:r>
        <w:separator/>
      </w:r>
    </w:p>
    <w:p w:rsidR="00751F6B" w:rsidRDefault="00751F6B"/>
  </w:endnote>
  <w:endnote w:type="continuationSeparator" w:id="0">
    <w:p w:rsidR="00751F6B" w:rsidRDefault="00751F6B" w:rsidP="007D2C79">
      <w:pPr>
        <w:spacing w:line="240" w:lineRule="auto"/>
      </w:pPr>
      <w:r>
        <w:continuationSeparator/>
      </w:r>
    </w:p>
    <w:p w:rsidR="00751F6B" w:rsidRDefault="00751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roseAntique">
    <w:altName w:val="Georgia"/>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BemboA">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597191"/>
      <w:docPartObj>
        <w:docPartGallery w:val="Page Numbers (Bottom of Page)"/>
        <w:docPartUnique/>
      </w:docPartObj>
    </w:sdtPr>
    <w:sdtContent>
      <w:p w:rsidR="0052549E" w:rsidRDefault="0052549E">
        <w:pPr>
          <w:pStyle w:val="Podnoje"/>
          <w:jc w:val="right"/>
        </w:pPr>
        <w:r>
          <w:fldChar w:fldCharType="begin"/>
        </w:r>
        <w:r>
          <w:instrText>PAGE   \* MERGEFORMAT</w:instrText>
        </w:r>
        <w:r>
          <w:fldChar w:fldCharType="separate"/>
        </w:r>
        <w:r w:rsidR="00E2617D" w:rsidRPr="00E2617D">
          <w:rPr>
            <w:noProof/>
            <w:lang w:val="hr-HR"/>
          </w:rPr>
          <w:t>52</w:t>
        </w:r>
        <w:r>
          <w:rPr>
            <w:noProof/>
            <w:lang w:val="hr-HR"/>
          </w:rPr>
          <w:fldChar w:fldCharType="end"/>
        </w:r>
      </w:p>
    </w:sdtContent>
  </w:sdt>
  <w:p w:rsidR="0052549E" w:rsidRDefault="0052549E" w:rsidP="002F6B07">
    <w:pPr>
      <w:pStyle w:val="Podnoje"/>
      <w:ind w:firstLine="708"/>
    </w:pPr>
  </w:p>
  <w:p w:rsidR="0052549E" w:rsidRDefault="005254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F6B" w:rsidRDefault="00751F6B" w:rsidP="007D2C79">
      <w:pPr>
        <w:spacing w:line="240" w:lineRule="auto"/>
      </w:pPr>
      <w:r>
        <w:separator/>
      </w:r>
    </w:p>
    <w:p w:rsidR="00751F6B" w:rsidRDefault="00751F6B"/>
  </w:footnote>
  <w:footnote w:type="continuationSeparator" w:id="0">
    <w:p w:rsidR="00751F6B" w:rsidRDefault="00751F6B" w:rsidP="007D2C79">
      <w:pPr>
        <w:spacing w:line="240" w:lineRule="auto"/>
      </w:pPr>
      <w:r>
        <w:continuationSeparator/>
      </w:r>
    </w:p>
    <w:p w:rsidR="00751F6B" w:rsidRDefault="00751F6B"/>
  </w:footnote>
  <w:footnote w:id="1">
    <w:p w:rsidR="0052549E" w:rsidRPr="009737A3" w:rsidRDefault="0052549E" w:rsidP="00BE1045">
      <w:pPr>
        <w:pStyle w:val="Tekstfusnote"/>
        <w:spacing w:before="0" w:after="0"/>
        <w:jc w:val="left"/>
        <w:rPr>
          <w:sz w:val="18"/>
          <w:szCs w:val="18"/>
        </w:rPr>
      </w:pPr>
      <w:r w:rsidRPr="009737A3">
        <w:rPr>
          <w:rStyle w:val="Referencafusnote"/>
          <w:sz w:val="18"/>
          <w:szCs w:val="18"/>
        </w:rPr>
        <w:footnoteRef/>
      </w:r>
      <w:proofErr w:type="spellStart"/>
      <w:proofErr w:type="gramStart"/>
      <w:r w:rsidRPr="009737A3">
        <w:rPr>
          <w:sz w:val="18"/>
          <w:szCs w:val="18"/>
        </w:rPr>
        <w:t>Naravno</w:t>
      </w:r>
      <w:proofErr w:type="spellEnd"/>
      <w:r w:rsidRPr="009737A3">
        <w:rPr>
          <w:sz w:val="18"/>
          <w:szCs w:val="18"/>
        </w:rPr>
        <w:t xml:space="preserve"> </w:t>
      </w:r>
      <w:proofErr w:type="spellStart"/>
      <w:r w:rsidRPr="009737A3">
        <w:rPr>
          <w:sz w:val="18"/>
          <w:szCs w:val="18"/>
        </w:rPr>
        <w:t>uz</w:t>
      </w:r>
      <w:proofErr w:type="spellEnd"/>
      <w:r w:rsidRPr="009737A3">
        <w:rPr>
          <w:sz w:val="18"/>
          <w:szCs w:val="18"/>
        </w:rPr>
        <w:t xml:space="preserve"> </w:t>
      </w:r>
      <w:proofErr w:type="spellStart"/>
      <w:r w:rsidRPr="009737A3">
        <w:rPr>
          <w:sz w:val="18"/>
          <w:szCs w:val="18"/>
        </w:rPr>
        <w:t>iznimku</w:t>
      </w:r>
      <w:proofErr w:type="spellEnd"/>
      <w:r w:rsidRPr="009737A3">
        <w:rPr>
          <w:sz w:val="18"/>
          <w:szCs w:val="18"/>
        </w:rPr>
        <w:t xml:space="preserve"> </w:t>
      </w:r>
      <w:proofErr w:type="spellStart"/>
      <w:r w:rsidRPr="009737A3">
        <w:rPr>
          <w:sz w:val="18"/>
          <w:szCs w:val="18"/>
        </w:rPr>
        <w:t>pravila</w:t>
      </w:r>
      <w:proofErr w:type="spellEnd"/>
      <w:r w:rsidRPr="009737A3">
        <w:rPr>
          <w:sz w:val="18"/>
          <w:szCs w:val="18"/>
        </w:rPr>
        <w:t xml:space="preserve"> o </w:t>
      </w:r>
      <w:proofErr w:type="spellStart"/>
      <w:r w:rsidRPr="009737A3">
        <w:rPr>
          <w:sz w:val="18"/>
          <w:szCs w:val="18"/>
        </w:rPr>
        <w:t>državnim</w:t>
      </w:r>
      <w:proofErr w:type="spellEnd"/>
      <w:r w:rsidRPr="009737A3">
        <w:rPr>
          <w:sz w:val="18"/>
          <w:szCs w:val="18"/>
        </w:rPr>
        <w:t xml:space="preserve"> </w:t>
      </w:r>
      <w:proofErr w:type="spellStart"/>
      <w:r w:rsidRPr="009737A3">
        <w:rPr>
          <w:sz w:val="18"/>
          <w:szCs w:val="18"/>
        </w:rPr>
        <w:t>potporama</w:t>
      </w:r>
      <w:proofErr w:type="spellEnd"/>
      <w:r w:rsidRPr="009737A3">
        <w:rPr>
          <w:sz w:val="18"/>
          <w:szCs w:val="18"/>
        </w:rPr>
        <w:t xml:space="preserve"> </w:t>
      </w:r>
      <w:proofErr w:type="spellStart"/>
      <w:r w:rsidRPr="009737A3">
        <w:rPr>
          <w:sz w:val="18"/>
          <w:szCs w:val="18"/>
        </w:rPr>
        <w:t>kada</w:t>
      </w:r>
      <w:proofErr w:type="spellEnd"/>
      <w:r w:rsidRPr="009737A3">
        <w:rPr>
          <w:sz w:val="18"/>
          <w:szCs w:val="18"/>
        </w:rPr>
        <w:t xml:space="preserve"> </w:t>
      </w:r>
      <w:proofErr w:type="spellStart"/>
      <w:r w:rsidRPr="009737A3">
        <w:rPr>
          <w:sz w:val="18"/>
          <w:szCs w:val="18"/>
        </w:rPr>
        <w:t>uz</w:t>
      </w:r>
      <w:proofErr w:type="spellEnd"/>
      <w:r w:rsidRPr="009737A3">
        <w:rPr>
          <w:sz w:val="18"/>
          <w:szCs w:val="18"/>
        </w:rPr>
        <w:t xml:space="preserve"> </w:t>
      </w:r>
      <w:proofErr w:type="spellStart"/>
      <w:r w:rsidRPr="009737A3">
        <w:rPr>
          <w:sz w:val="18"/>
          <w:szCs w:val="18"/>
        </w:rPr>
        <w:t>određenog</w:t>
      </w:r>
      <w:proofErr w:type="spellEnd"/>
      <w:r w:rsidRPr="009737A3">
        <w:rPr>
          <w:sz w:val="18"/>
          <w:szCs w:val="18"/>
        </w:rPr>
        <w:t xml:space="preserve"> </w:t>
      </w:r>
      <w:proofErr w:type="spellStart"/>
      <w:r w:rsidRPr="009737A3">
        <w:rPr>
          <w:sz w:val="18"/>
          <w:szCs w:val="18"/>
        </w:rPr>
        <w:t>privatnog</w:t>
      </w:r>
      <w:proofErr w:type="spellEnd"/>
      <w:r w:rsidRPr="009737A3">
        <w:rPr>
          <w:sz w:val="18"/>
          <w:szCs w:val="18"/>
        </w:rPr>
        <w:t xml:space="preserve"> </w:t>
      </w:r>
      <w:proofErr w:type="spellStart"/>
      <w:r w:rsidRPr="009737A3">
        <w:rPr>
          <w:sz w:val="18"/>
          <w:szCs w:val="18"/>
        </w:rPr>
        <w:t>subjekta</w:t>
      </w:r>
      <w:proofErr w:type="spellEnd"/>
      <w:r w:rsidRPr="009737A3">
        <w:rPr>
          <w:sz w:val="18"/>
          <w:szCs w:val="18"/>
        </w:rPr>
        <w:t xml:space="preserve"> </w:t>
      </w:r>
      <w:proofErr w:type="spellStart"/>
      <w:r w:rsidRPr="009737A3">
        <w:rPr>
          <w:sz w:val="18"/>
          <w:szCs w:val="18"/>
        </w:rPr>
        <w:t>nužno</w:t>
      </w:r>
      <w:proofErr w:type="spellEnd"/>
      <w:r w:rsidRPr="009737A3">
        <w:rPr>
          <w:sz w:val="18"/>
          <w:szCs w:val="18"/>
        </w:rPr>
        <w:t xml:space="preserve"> </w:t>
      </w:r>
      <w:proofErr w:type="spellStart"/>
      <w:r w:rsidRPr="009737A3">
        <w:rPr>
          <w:sz w:val="18"/>
          <w:szCs w:val="18"/>
        </w:rPr>
        <w:t>postoji</w:t>
      </w:r>
      <w:proofErr w:type="spellEnd"/>
      <w:r w:rsidRPr="009737A3">
        <w:rPr>
          <w:sz w:val="18"/>
          <w:szCs w:val="18"/>
        </w:rPr>
        <w:t xml:space="preserve"> </w:t>
      </w:r>
      <w:proofErr w:type="spellStart"/>
      <w:r w:rsidRPr="009737A3">
        <w:rPr>
          <w:sz w:val="18"/>
          <w:szCs w:val="18"/>
        </w:rPr>
        <w:t>i</w:t>
      </w:r>
      <w:proofErr w:type="spellEnd"/>
      <w:r w:rsidRPr="009737A3">
        <w:rPr>
          <w:sz w:val="18"/>
          <w:szCs w:val="18"/>
        </w:rPr>
        <w:t xml:space="preserve"> </w:t>
      </w:r>
      <w:proofErr w:type="spellStart"/>
      <w:r w:rsidRPr="009737A3">
        <w:rPr>
          <w:sz w:val="18"/>
          <w:szCs w:val="18"/>
        </w:rPr>
        <w:t>odgovornost</w:t>
      </w:r>
      <w:proofErr w:type="spellEnd"/>
      <w:r w:rsidRPr="009737A3">
        <w:rPr>
          <w:sz w:val="18"/>
          <w:szCs w:val="18"/>
        </w:rPr>
        <w:t xml:space="preserve"> </w:t>
      </w:r>
      <w:proofErr w:type="spellStart"/>
      <w:r w:rsidRPr="009737A3">
        <w:rPr>
          <w:sz w:val="18"/>
          <w:szCs w:val="18"/>
        </w:rPr>
        <w:t>dražave</w:t>
      </w:r>
      <w:proofErr w:type="spellEnd"/>
      <w:r w:rsidRPr="009737A3">
        <w:rPr>
          <w:sz w:val="18"/>
          <w:szCs w:val="18"/>
        </w:rPr>
        <w:t xml:space="preserve"> </w:t>
      </w:r>
      <w:proofErr w:type="spellStart"/>
      <w:r w:rsidRPr="009737A3">
        <w:rPr>
          <w:sz w:val="18"/>
          <w:szCs w:val="18"/>
        </w:rPr>
        <w:t>članice</w:t>
      </w:r>
      <w:proofErr w:type="spellEnd"/>
      <w:r w:rsidRPr="009737A3">
        <w:rPr>
          <w:sz w:val="18"/>
          <w:szCs w:val="18"/>
        </w:rPr>
        <w:t>.</w:t>
      </w:r>
      <w:proofErr w:type="gramEnd"/>
    </w:p>
  </w:footnote>
  <w:footnote w:id="2">
    <w:p w:rsidR="0052549E" w:rsidRPr="009737A3" w:rsidRDefault="0052549E" w:rsidP="00BE1045">
      <w:pPr>
        <w:pStyle w:val="Tekstfusnote"/>
        <w:spacing w:before="0" w:after="0"/>
        <w:jc w:val="left"/>
        <w:rPr>
          <w:sz w:val="18"/>
          <w:szCs w:val="18"/>
          <w:lang w:val="hr-HR"/>
        </w:rPr>
      </w:pPr>
      <w:r w:rsidRPr="009737A3">
        <w:rPr>
          <w:rStyle w:val="Referencafusnote"/>
          <w:sz w:val="18"/>
          <w:szCs w:val="18"/>
        </w:rPr>
        <w:footnoteRef/>
      </w:r>
      <w:r w:rsidRPr="009737A3">
        <w:rPr>
          <w:sz w:val="18"/>
          <w:szCs w:val="18"/>
          <w:lang w:val="en-US"/>
        </w:rPr>
        <w:t xml:space="preserve"> Part III, Chapter 1, Articles 85 - 90</w:t>
      </w:r>
    </w:p>
  </w:footnote>
  <w:footnote w:id="3">
    <w:p w:rsidR="0052549E" w:rsidRPr="009737A3" w:rsidRDefault="0052549E" w:rsidP="00BE1045">
      <w:pPr>
        <w:autoSpaceDE w:val="0"/>
        <w:autoSpaceDN w:val="0"/>
        <w:adjustRightInd w:val="0"/>
        <w:spacing w:before="0" w:after="0" w:line="240" w:lineRule="auto"/>
        <w:jc w:val="left"/>
        <w:rPr>
          <w:rFonts w:eastAsia="TimesNewRomanPSMT"/>
          <w:sz w:val="18"/>
          <w:szCs w:val="18"/>
          <w:lang w:val="hr-HR"/>
        </w:rPr>
      </w:pPr>
      <w:r w:rsidRPr="009737A3">
        <w:rPr>
          <w:rStyle w:val="Referencafusnote"/>
          <w:sz w:val="18"/>
          <w:szCs w:val="18"/>
        </w:rPr>
        <w:footnoteRef/>
      </w:r>
      <w:r w:rsidRPr="009737A3">
        <w:rPr>
          <w:rFonts w:eastAsia="TimesNewRomanPSMT"/>
          <w:sz w:val="18"/>
          <w:szCs w:val="18"/>
          <w:lang w:val="hr-HR"/>
        </w:rPr>
        <w:t xml:space="preserve">C-209/07, </w:t>
      </w:r>
      <w:proofErr w:type="spellStart"/>
      <w:r w:rsidRPr="009737A3">
        <w:rPr>
          <w:rFonts w:eastAsia="TimesNewRomanPS-ItalicMT"/>
          <w:i/>
          <w:iCs/>
          <w:sz w:val="18"/>
          <w:szCs w:val="18"/>
          <w:lang w:val="hr-HR"/>
        </w:rPr>
        <w:t>CompetitionAuthority</w:t>
      </w:r>
      <w:r w:rsidRPr="009737A3">
        <w:rPr>
          <w:rFonts w:eastAsia="TimesNewRomanPSMT"/>
          <w:sz w:val="18"/>
          <w:szCs w:val="18"/>
          <w:lang w:val="hr-HR"/>
        </w:rPr>
        <w:t>v</w:t>
      </w:r>
      <w:proofErr w:type="spellEnd"/>
      <w:r w:rsidRPr="009737A3">
        <w:rPr>
          <w:rFonts w:eastAsia="TimesNewRomanPSMT"/>
          <w:sz w:val="18"/>
          <w:szCs w:val="18"/>
          <w:lang w:val="hr-HR"/>
        </w:rPr>
        <w:t xml:space="preserve">. </w:t>
      </w:r>
      <w:proofErr w:type="spellStart"/>
      <w:r w:rsidRPr="009737A3">
        <w:rPr>
          <w:rFonts w:eastAsia="TimesNewRomanPS-ItalicMT"/>
          <w:i/>
          <w:iCs/>
          <w:sz w:val="18"/>
          <w:szCs w:val="18"/>
          <w:lang w:val="hr-HR"/>
        </w:rPr>
        <w:t>BeefIndustryDevelopmentSocietyandBarryBrothers</w:t>
      </w:r>
      <w:proofErr w:type="spellEnd"/>
      <w:r w:rsidRPr="009737A3">
        <w:rPr>
          <w:rFonts w:eastAsia="TimesNewRomanPSMT"/>
          <w:sz w:val="18"/>
          <w:szCs w:val="18"/>
          <w:lang w:val="hr-HR"/>
        </w:rPr>
        <w:t xml:space="preserve">, [2008] </w:t>
      </w:r>
      <w:proofErr w:type="spellStart"/>
      <w:r w:rsidRPr="009737A3">
        <w:rPr>
          <w:rFonts w:eastAsia="TimesNewRomanPSMT"/>
          <w:sz w:val="18"/>
          <w:szCs w:val="18"/>
          <w:lang w:val="hr-HR"/>
        </w:rPr>
        <w:t>ECR</w:t>
      </w:r>
      <w:proofErr w:type="spellEnd"/>
      <w:r w:rsidRPr="009737A3">
        <w:rPr>
          <w:rFonts w:eastAsia="TimesNewRomanPSMT"/>
          <w:sz w:val="18"/>
          <w:szCs w:val="18"/>
          <w:lang w:val="hr-HR"/>
        </w:rPr>
        <w:t xml:space="preserve"> I-8637¸C-8/08, </w:t>
      </w:r>
      <w:r w:rsidRPr="009737A3">
        <w:rPr>
          <w:rFonts w:eastAsia="TimesNewRomanPS-ItalicMT"/>
          <w:i/>
          <w:iCs/>
          <w:sz w:val="18"/>
          <w:szCs w:val="18"/>
          <w:lang w:val="hr-HR"/>
        </w:rPr>
        <w:t>T-Mobile</w:t>
      </w:r>
      <w:r w:rsidRPr="009737A3">
        <w:rPr>
          <w:rFonts w:eastAsia="TimesNewRomanPSMT"/>
          <w:sz w:val="18"/>
          <w:szCs w:val="18"/>
          <w:lang w:val="hr-HR"/>
        </w:rPr>
        <w:t xml:space="preserve">, [2009] </w:t>
      </w:r>
      <w:proofErr w:type="spellStart"/>
      <w:r w:rsidRPr="009737A3">
        <w:rPr>
          <w:rFonts w:eastAsia="TimesNewRomanPSMT"/>
          <w:sz w:val="18"/>
          <w:szCs w:val="18"/>
          <w:lang w:val="hr-HR"/>
        </w:rPr>
        <w:t>ECR</w:t>
      </w:r>
      <w:proofErr w:type="spellEnd"/>
      <w:r w:rsidRPr="009737A3">
        <w:rPr>
          <w:rFonts w:eastAsia="TimesNewRomanPSMT"/>
          <w:sz w:val="18"/>
          <w:szCs w:val="18"/>
          <w:lang w:val="hr-HR"/>
        </w:rPr>
        <w:t xml:space="preserve"> I-4529¸ C-501, 513, 515 &amp; 519/06 P, </w:t>
      </w:r>
      <w:r w:rsidRPr="009737A3">
        <w:rPr>
          <w:rFonts w:eastAsia="TimesNewRomanPS-ItalicMT"/>
          <w:i/>
          <w:iCs/>
          <w:sz w:val="18"/>
          <w:szCs w:val="18"/>
          <w:lang w:val="hr-HR"/>
        </w:rPr>
        <w:t xml:space="preserve">GlaxoSmithKline </w:t>
      </w:r>
      <w:proofErr w:type="spellStart"/>
      <w:r w:rsidRPr="009737A3">
        <w:rPr>
          <w:rFonts w:eastAsia="TimesNewRomanPS-ItalicMT"/>
          <w:i/>
          <w:iCs/>
          <w:sz w:val="18"/>
          <w:szCs w:val="18"/>
          <w:lang w:val="hr-HR"/>
        </w:rPr>
        <w:t>ServicesUnlimited</w:t>
      </w:r>
      <w:r w:rsidRPr="009737A3">
        <w:rPr>
          <w:rFonts w:eastAsia="TimesNewRomanPSMT"/>
          <w:sz w:val="18"/>
          <w:szCs w:val="18"/>
          <w:lang w:val="hr-HR"/>
        </w:rPr>
        <w:t>v</w:t>
      </w:r>
      <w:proofErr w:type="spellEnd"/>
      <w:r w:rsidRPr="009737A3">
        <w:rPr>
          <w:rFonts w:eastAsia="TimesNewRomanPSMT"/>
          <w:sz w:val="18"/>
          <w:szCs w:val="18"/>
          <w:lang w:val="hr-HR"/>
        </w:rPr>
        <w:t xml:space="preserve">. </w:t>
      </w:r>
      <w:proofErr w:type="spellStart"/>
      <w:r w:rsidRPr="009737A3">
        <w:rPr>
          <w:rFonts w:eastAsia="TimesNewRomanPS-ItalicMT"/>
          <w:i/>
          <w:iCs/>
          <w:sz w:val="18"/>
          <w:szCs w:val="18"/>
          <w:lang w:val="hr-HR"/>
        </w:rPr>
        <w:t>Commission</w:t>
      </w:r>
      <w:proofErr w:type="spellEnd"/>
      <w:r w:rsidRPr="009737A3">
        <w:rPr>
          <w:rFonts w:eastAsia="TimesNewRomanPSMT"/>
          <w:sz w:val="18"/>
          <w:szCs w:val="18"/>
          <w:lang w:val="hr-HR"/>
        </w:rPr>
        <w:t xml:space="preserve">, [2009] </w:t>
      </w:r>
      <w:proofErr w:type="spellStart"/>
      <w:r w:rsidRPr="009737A3">
        <w:rPr>
          <w:rFonts w:eastAsia="TimesNewRomanPSMT"/>
          <w:sz w:val="18"/>
          <w:szCs w:val="18"/>
          <w:lang w:val="hr-HR"/>
        </w:rPr>
        <w:t>ECR</w:t>
      </w:r>
      <w:proofErr w:type="spellEnd"/>
      <w:r w:rsidRPr="009737A3">
        <w:rPr>
          <w:rFonts w:eastAsia="TimesNewRomanPSMT"/>
          <w:sz w:val="18"/>
          <w:szCs w:val="18"/>
          <w:lang w:val="hr-HR"/>
        </w:rPr>
        <w:t xml:space="preserve"> I-9291¸</w:t>
      </w:r>
      <w:proofErr w:type="spellStart"/>
      <w:r w:rsidRPr="009737A3">
        <w:rPr>
          <w:rFonts w:eastAsia="TimesNewRomanPSMT"/>
          <w:sz w:val="18"/>
          <w:szCs w:val="18"/>
          <w:lang w:val="hr-HR"/>
        </w:rPr>
        <w:t>Case</w:t>
      </w:r>
      <w:proofErr w:type="spellEnd"/>
      <w:r w:rsidRPr="009737A3">
        <w:rPr>
          <w:rFonts w:eastAsia="TimesNewRomanPSMT"/>
          <w:sz w:val="18"/>
          <w:szCs w:val="18"/>
          <w:lang w:val="hr-HR"/>
        </w:rPr>
        <w:t xml:space="preserve"> C-439/09, </w:t>
      </w:r>
      <w:proofErr w:type="spellStart"/>
      <w:r w:rsidRPr="009737A3">
        <w:rPr>
          <w:rFonts w:eastAsia="TimesNewRomanPSMT"/>
          <w:sz w:val="18"/>
          <w:szCs w:val="18"/>
          <w:lang w:val="hr-HR"/>
        </w:rPr>
        <w:t>PierreFabreDermo</w:t>
      </w:r>
      <w:proofErr w:type="spellEnd"/>
      <w:r w:rsidRPr="009737A3">
        <w:rPr>
          <w:rFonts w:eastAsia="TimesNewRomanPSMT"/>
          <w:sz w:val="18"/>
          <w:szCs w:val="18"/>
          <w:lang w:val="hr-HR"/>
        </w:rPr>
        <w:t>-</w:t>
      </w:r>
      <w:proofErr w:type="spellStart"/>
      <w:r w:rsidRPr="009737A3">
        <w:rPr>
          <w:rFonts w:eastAsia="TimesNewRomanPSMT"/>
          <w:sz w:val="18"/>
          <w:szCs w:val="18"/>
          <w:lang w:val="hr-HR"/>
        </w:rPr>
        <w:t>CosmétiqueSAS</w:t>
      </w:r>
      <w:proofErr w:type="spellEnd"/>
      <w:r w:rsidRPr="009737A3">
        <w:rPr>
          <w:rFonts w:eastAsia="TimesNewRomanPSMT"/>
          <w:sz w:val="18"/>
          <w:szCs w:val="18"/>
          <w:lang w:val="hr-HR"/>
        </w:rPr>
        <w:t xml:space="preserve">,; C-32/11, Allianz </w:t>
      </w:r>
      <w:proofErr w:type="spellStart"/>
      <w:r w:rsidRPr="009737A3">
        <w:rPr>
          <w:rFonts w:eastAsia="TimesNewRomanPSMT"/>
          <w:sz w:val="18"/>
          <w:szCs w:val="18"/>
          <w:lang w:val="hr-HR"/>
        </w:rPr>
        <w:t>HungáriaBiztosítóZrt</w:t>
      </w:r>
      <w:proofErr w:type="spellEnd"/>
      <w:r w:rsidRPr="009737A3">
        <w:rPr>
          <w:rFonts w:eastAsia="TimesNewRomanPSMT"/>
          <w:sz w:val="18"/>
          <w:szCs w:val="18"/>
          <w:lang w:val="hr-HR"/>
        </w:rPr>
        <w:t xml:space="preserve">; </w:t>
      </w:r>
      <w:proofErr w:type="spellStart"/>
      <w:r w:rsidRPr="009737A3">
        <w:rPr>
          <w:rFonts w:eastAsia="TimesNewRomanPSMT"/>
          <w:sz w:val="18"/>
          <w:szCs w:val="18"/>
          <w:lang w:val="hr-HR"/>
        </w:rPr>
        <w:t>PredmetT</w:t>
      </w:r>
      <w:proofErr w:type="spellEnd"/>
      <w:r w:rsidRPr="009737A3">
        <w:rPr>
          <w:rFonts w:eastAsia="TimesNewRomanPSMT"/>
          <w:sz w:val="18"/>
          <w:szCs w:val="18"/>
          <w:lang w:val="hr-HR"/>
        </w:rPr>
        <w:t xml:space="preserve">-491/07, </w:t>
      </w:r>
      <w:proofErr w:type="spellStart"/>
      <w:r w:rsidRPr="009737A3">
        <w:rPr>
          <w:rFonts w:eastAsia="TimesNewRomanPSMT"/>
          <w:sz w:val="18"/>
          <w:szCs w:val="18"/>
          <w:lang w:val="hr-HR"/>
        </w:rPr>
        <w:t>GroupementdesCartesBancaires</w:t>
      </w:r>
      <w:proofErr w:type="spellEnd"/>
      <w:r w:rsidRPr="009737A3">
        <w:rPr>
          <w:rFonts w:eastAsia="TimesNewRomanPSMT"/>
          <w:sz w:val="18"/>
          <w:szCs w:val="18"/>
          <w:lang w:val="hr-HR"/>
        </w:rPr>
        <w:t xml:space="preserve">, C-403 &amp; 429/08, </w:t>
      </w:r>
      <w:proofErr w:type="spellStart"/>
      <w:r w:rsidRPr="009737A3">
        <w:rPr>
          <w:rFonts w:eastAsia="TimesNewRomanPS-ItalicMT"/>
          <w:i/>
          <w:iCs/>
          <w:sz w:val="18"/>
          <w:szCs w:val="18"/>
          <w:lang w:val="hr-HR"/>
        </w:rPr>
        <w:t>FootballAssociationPremierLeagueLtd</w:t>
      </w:r>
      <w:proofErr w:type="spellEnd"/>
    </w:p>
    <w:p w:rsidR="0052549E" w:rsidRPr="009737A3" w:rsidRDefault="0052549E" w:rsidP="00BE1045">
      <w:pPr>
        <w:autoSpaceDE w:val="0"/>
        <w:autoSpaceDN w:val="0"/>
        <w:adjustRightInd w:val="0"/>
        <w:spacing w:before="0" w:after="0" w:line="240" w:lineRule="auto"/>
        <w:jc w:val="left"/>
        <w:rPr>
          <w:rFonts w:eastAsia="TimesNewRomanPSMT"/>
          <w:sz w:val="18"/>
          <w:szCs w:val="18"/>
          <w:lang w:val="hr-HR"/>
        </w:rPr>
      </w:pPr>
      <w:proofErr w:type="spellStart"/>
      <w:r w:rsidRPr="009737A3">
        <w:rPr>
          <w:rFonts w:eastAsia="TimesNewRomanPSMT"/>
          <w:sz w:val="18"/>
          <w:szCs w:val="18"/>
          <w:lang w:val="hr-HR"/>
        </w:rPr>
        <w:t>GIE</w:t>
      </w:r>
      <w:proofErr w:type="spellEnd"/>
      <w:r w:rsidRPr="009737A3">
        <w:rPr>
          <w:rFonts w:eastAsia="TimesNewRomanPSMT"/>
          <w:sz w:val="18"/>
          <w:szCs w:val="18"/>
          <w:lang w:val="hr-HR"/>
        </w:rPr>
        <w:t xml:space="preserve"> v. </w:t>
      </w:r>
      <w:proofErr w:type="spellStart"/>
      <w:r w:rsidRPr="009737A3">
        <w:rPr>
          <w:rFonts w:eastAsia="TimesNewRomanPSMT"/>
          <w:sz w:val="18"/>
          <w:szCs w:val="18"/>
          <w:lang w:val="hr-HR"/>
        </w:rPr>
        <w:t>Commission</w:t>
      </w:r>
      <w:proofErr w:type="spellEnd"/>
      <w:r w:rsidRPr="009737A3">
        <w:rPr>
          <w:rFonts w:eastAsia="TimesNewRomanPSMT"/>
          <w:sz w:val="18"/>
          <w:szCs w:val="18"/>
          <w:lang w:val="hr-HR"/>
        </w:rPr>
        <w:t xml:space="preserve">; </w:t>
      </w:r>
      <w:proofErr w:type="spellStart"/>
      <w:r w:rsidRPr="009737A3">
        <w:rPr>
          <w:rFonts w:eastAsia="TimesNewRomanPSMT"/>
          <w:sz w:val="18"/>
          <w:szCs w:val="18"/>
          <w:lang w:val="hr-HR"/>
        </w:rPr>
        <w:t>Case</w:t>
      </w:r>
      <w:proofErr w:type="spellEnd"/>
      <w:r w:rsidRPr="009737A3">
        <w:rPr>
          <w:rFonts w:eastAsia="TimesNewRomanPSMT"/>
          <w:sz w:val="18"/>
          <w:szCs w:val="18"/>
          <w:lang w:val="hr-HR"/>
        </w:rPr>
        <w:t xml:space="preserve"> T-588/08, Dole </w:t>
      </w:r>
      <w:proofErr w:type="spellStart"/>
      <w:r w:rsidRPr="009737A3">
        <w:rPr>
          <w:rFonts w:eastAsia="TimesNewRomanPSMT"/>
          <w:sz w:val="18"/>
          <w:szCs w:val="18"/>
          <w:lang w:val="hr-HR"/>
        </w:rPr>
        <w:t>Food</w:t>
      </w:r>
      <w:proofErr w:type="spellEnd"/>
      <w:r w:rsidRPr="009737A3">
        <w:rPr>
          <w:rFonts w:eastAsia="TimesNewRomanPSMT"/>
          <w:sz w:val="18"/>
          <w:szCs w:val="18"/>
          <w:lang w:val="hr-HR"/>
        </w:rPr>
        <w:t xml:space="preserve"> v. </w:t>
      </w:r>
      <w:proofErr w:type="spellStart"/>
      <w:r w:rsidRPr="009737A3">
        <w:rPr>
          <w:rFonts w:eastAsia="TimesNewRomanPSMT"/>
          <w:sz w:val="18"/>
          <w:szCs w:val="18"/>
          <w:lang w:val="hr-HR"/>
        </w:rPr>
        <w:t>Commission</w:t>
      </w:r>
      <w:proofErr w:type="spellEnd"/>
    </w:p>
  </w:footnote>
  <w:footnote w:id="4">
    <w:p w:rsidR="00E2617D" w:rsidRPr="009737A3" w:rsidRDefault="00E2617D" w:rsidP="00E2617D">
      <w:pPr>
        <w:pStyle w:val="Tekstfusnote"/>
        <w:jc w:val="left"/>
        <w:rPr>
          <w:sz w:val="18"/>
          <w:szCs w:val="18"/>
          <w:lang w:val="hr-HR"/>
        </w:rPr>
      </w:pPr>
      <w:r w:rsidRPr="009737A3">
        <w:rPr>
          <w:rStyle w:val="Referencafusnote"/>
          <w:sz w:val="18"/>
          <w:szCs w:val="18"/>
        </w:rPr>
        <w:footnoteRef/>
      </w:r>
      <w:proofErr w:type="spellStart"/>
      <w:r w:rsidRPr="009737A3">
        <w:rPr>
          <w:sz w:val="18"/>
          <w:szCs w:val="18"/>
          <w:lang w:val="hr-HR"/>
        </w:rPr>
        <w:t>Accurate</w:t>
      </w:r>
      <w:proofErr w:type="spellEnd"/>
      <w:r w:rsidRPr="009737A3">
        <w:rPr>
          <w:sz w:val="18"/>
          <w:szCs w:val="18"/>
          <w:lang w:val="hr-HR"/>
        </w:rPr>
        <w:t xml:space="preserve">, </w:t>
      </w:r>
      <w:proofErr w:type="spellStart"/>
      <w:r w:rsidRPr="009737A3">
        <w:rPr>
          <w:sz w:val="18"/>
          <w:szCs w:val="18"/>
          <w:lang w:val="hr-HR"/>
        </w:rPr>
        <w:t>administrable</w:t>
      </w:r>
      <w:proofErr w:type="spellEnd"/>
      <w:r w:rsidRPr="009737A3">
        <w:rPr>
          <w:sz w:val="18"/>
          <w:szCs w:val="18"/>
          <w:lang w:val="hr-HR"/>
        </w:rPr>
        <w:t xml:space="preserve">, </w:t>
      </w:r>
      <w:proofErr w:type="spellStart"/>
      <w:r w:rsidRPr="009737A3">
        <w:rPr>
          <w:sz w:val="18"/>
          <w:szCs w:val="18"/>
          <w:lang w:val="hr-HR"/>
        </w:rPr>
        <w:t>applicable</w:t>
      </w:r>
      <w:proofErr w:type="spellEnd"/>
      <w:r w:rsidRPr="009737A3">
        <w:rPr>
          <w:sz w:val="18"/>
          <w:szCs w:val="18"/>
          <w:lang w:val="hr-HR"/>
        </w:rPr>
        <w:t xml:space="preserve">, </w:t>
      </w:r>
      <w:proofErr w:type="spellStart"/>
      <w:r w:rsidRPr="009737A3">
        <w:rPr>
          <w:sz w:val="18"/>
          <w:szCs w:val="18"/>
          <w:lang w:val="hr-HR"/>
        </w:rPr>
        <w:t>objective</w:t>
      </w:r>
      <w:proofErr w:type="spellEnd"/>
      <w:r w:rsidRPr="009737A3">
        <w:rPr>
          <w:sz w:val="18"/>
          <w:szCs w:val="18"/>
          <w:lang w:val="hr-HR"/>
        </w:rPr>
        <w:t xml:space="preserve">, </w:t>
      </w:r>
      <w:proofErr w:type="spellStart"/>
      <w:r w:rsidRPr="009737A3">
        <w:rPr>
          <w:sz w:val="18"/>
          <w:szCs w:val="18"/>
          <w:lang w:val="hr-HR"/>
        </w:rPr>
        <w:t>consistentandtransprent</w:t>
      </w:r>
      <w:proofErr w:type="spellEnd"/>
      <w:r w:rsidRPr="009737A3">
        <w:rPr>
          <w:sz w:val="18"/>
          <w:szCs w:val="18"/>
          <w:lang w:val="hr-HR"/>
        </w:rPr>
        <w:t xml:space="preserve">. OECD </w:t>
      </w:r>
      <w:proofErr w:type="spellStart"/>
      <w:r w:rsidRPr="009737A3">
        <w:rPr>
          <w:sz w:val="18"/>
          <w:szCs w:val="18"/>
          <w:lang w:val="hr-HR"/>
        </w:rPr>
        <w:t>Policyroundtable</w:t>
      </w:r>
      <w:proofErr w:type="spellEnd"/>
      <w:r w:rsidRPr="009737A3">
        <w:rPr>
          <w:sz w:val="18"/>
          <w:szCs w:val="18"/>
          <w:lang w:val="hr-HR"/>
        </w:rPr>
        <w:t xml:space="preserve"> on </w:t>
      </w:r>
      <w:proofErr w:type="spellStart"/>
      <w:r w:rsidRPr="009737A3">
        <w:rPr>
          <w:sz w:val="18"/>
          <w:szCs w:val="18"/>
          <w:lang w:val="hr-HR"/>
        </w:rPr>
        <w:t>resalepricemantaince</w:t>
      </w:r>
      <w:proofErr w:type="spellEnd"/>
      <w:r w:rsidRPr="009737A3">
        <w:rPr>
          <w:sz w:val="18"/>
          <w:szCs w:val="18"/>
          <w:lang w:val="hr-HR"/>
        </w:rPr>
        <w:t xml:space="preserve">, dostupno na </w:t>
      </w:r>
      <w:hyperlink r:id="rId1" w:history="1">
        <w:r w:rsidRPr="009737A3">
          <w:rPr>
            <w:rStyle w:val="Hiperveza"/>
            <w:color w:val="auto"/>
            <w:sz w:val="18"/>
            <w:szCs w:val="18"/>
            <w:u w:val="none"/>
            <w:lang w:val="hr-HR"/>
          </w:rPr>
          <w:t>http://www.oecd.org/daf/competition/43835526.pdf</w:t>
        </w:r>
      </w:hyperlink>
    </w:p>
  </w:footnote>
  <w:footnote w:id="5">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lang w:val="hr-HR"/>
        </w:rPr>
        <w:t xml:space="preserve">Ugovor o funkcioniranju Europske Unije </w:t>
      </w:r>
    </w:p>
  </w:footnote>
  <w:footnote w:id="6">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lang w:val="hr-HR"/>
        </w:rPr>
        <w:t>Štoviše, pravilo konvergencije iz članka 3., stavka 2. Uredbe 1/2003 ne primjenjuje se na jednostrane postupke. Ova se odredba primjenjuje samo na sporazume, odluke i usklađena djelovanja, koja mogu utjecati na trgovinu između država članica. Članak 3., stavak 2. uređuje da u slučaju kad nisu zabranjeni člankom 101., takvi sporazumi, odluke i usklađena djelovanja ne mogu biti zabranjeni nacionalnim pravom tržišnog natjecanja. Članak 3. ne dovodi u pitanje temeljno načelo prvenstva prava Zajednice, što za sobom posebice povlači da se sporazumi i djelovanja zlouporabe, koja su zabranjena člancima 101. i 102. ne mogu odobriti u nacionalnom pravu</w:t>
      </w:r>
    </w:p>
  </w:footnote>
  <w:footnote w:id="7">
    <w:p w:rsidR="0052549E" w:rsidRPr="009737A3" w:rsidRDefault="0052549E" w:rsidP="00BE1045">
      <w:pPr>
        <w:autoSpaceDE w:val="0"/>
        <w:autoSpaceDN w:val="0"/>
        <w:adjustRightInd w:val="0"/>
        <w:spacing w:line="240" w:lineRule="auto"/>
        <w:jc w:val="left"/>
        <w:rPr>
          <w:sz w:val="18"/>
          <w:szCs w:val="18"/>
        </w:rPr>
      </w:pPr>
      <w:r w:rsidRPr="009737A3">
        <w:rPr>
          <w:rStyle w:val="Referencafusnote"/>
          <w:sz w:val="18"/>
          <w:szCs w:val="18"/>
        </w:rPr>
        <w:footnoteRef/>
      </w:r>
      <w:r w:rsidRPr="009737A3">
        <w:rPr>
          <w:rFonts w:eastAsia="BemboA"/>
          <w:sz w:val="18"/>
          <w:szCs w:val="18"/>
          <w:lang w:val="hr-HR"/>
        </w:rPr>
        <w:t xml:space="preserve">Povezani predmeti 556 i 58/64 </w:t>
      </w:r>
      <w:proofErr w:type="spellStart"/>
      <w:r w:rsidRPr="009737A3">
        <w:rPr>
          <w:rFonts w:eastAsia="BemboA"/>
          <w:i/>
          <w:iCs/>
          <w:sz w:val="18"/>
          <w:szCs w:val="18"/>
          <w:lang w:val="hr-HR"/>
        </w:rPr>
        <w:t>ÉtablissementsConstenSŕRLandGrundig</w:t>
      </w:r>
      <w:proofErr w:type="spellEnd"/>
      <w:r w:rsidRPr="009737A3">
        <w:rPr>
          <w:rFonts w:eastAsia="BemboA"/>
          <w:i/>
          <w:iCs/>
          <w:sz w:val="18"/>
          <w:szCs w:val="18"/>
          <w:lang w:val="hr-HR"/>
        </w:rPr>
        <w:t>-</w:t>
      </w:r>
      <w:proofErr w:type="spellStart"/>
      <w:r w:rsidRPr="009737A3">
        <w:rPr>
          <w:rFonts w:eastAsia="BemboA"/>
          <w:i/>
          <w:iCs/>
          <w:sz w:val="18"/>
          <w:szCs w:val="18"/>
          <w:lang w:val="hr-HR"/>
        </w:rPr>
        <w:t>Verkaufs</w:t>
      </w:r>
      <w:proofErr w:type="spellEnd"/>
      <w:r w:rsidRPr="009737A3">
        <w:rPr>
          <w:rFonts w:eastAsia="BemboA"/>
          <w:i/>
          <w:iCs/>
          <w:sz w:val="18"/>
          <w:szCs w:val="18"/>
          <w:lang w:val="hr-HR"/>
        </w:rPr>
        <w:t>-</w:t>
      </w:r>
      <w:proofErr w:type="spellStart"/>
      <w:r w:rsidRPr="009737A3">
        <w:rPr>
          <w:rFonts w:eastAsia="BemboA"/>
          <w:i/>
          <w:iCs/>
          <w:sz w:val="18"/>
          <w:szCs w:val="18"/>
          <w:lang w:val="hr-HR"/>
        </w:rPr>
        <w:t>GmbH</w:t>
      </w:r>
      <w:proofErr w:type="spellEnd"/>
      <w:r w:rsidRPr="009737A3">
        <w:rPr>
          <w:rFonts w:eastAsia="BemboA"/>
          <w:i/>
          <w:iCs/>
          <w:sz w:val="18"/>
          <w:szCs w:val="18"/>
          <w:lang w:val="hr-HR"/>
        </w:rPr>
        <w:t xml:space="preserve"> v. </w:t>
      </w:r>
      <w:proofErr w:type="spellStart"/>
      <w:r w:rsidRPr="009737A3">
        <w:rPr>
          <w:rFonts w:eastAsia="BemboA"/>
          <w:i/>
          <w:iCs/>
          <w:sz w:val="18"/>
          <w:szCs w:val="18"/>
          <w:lang w:val="hr-HR"/>
        </w:rPr>
        <w:t>Commission</w:t>
      </w:r>
      <w:proofErr w:type="spellEnd"/>
      <w:r w:rsidRPr="009737A3">
        <w:rPr>
          <w:rFonts w:eastAsia="BemboA"/>
          <w:sz w:val="18"/>
          <w:szCs w:val="18"/>
          <w:lang w:val="hr-HR"/>
        </w:rPr>
        <w:t xml:space="preserve">[1966] </w:t>
      </w:r>
      <w:proofErr w:type="spellStart"/>
      <w:r w:rsidRPr="009737A3">
        <w:rPr>
          <w:rFonts w:eastAsia="BemboA"/>
          <w:sz w:val="18"/>
          <w:szCs w:val="18"/>
          <w:lang w:val="hr-HR"/>
        </w:rPr>
        <w:t>ECR</w:t>
      </w:r>
      <w:proofErr w:type="spellEnd"/>
    </w:p>
  </w:footnote>
  <w:footnote w:id="8">
    <w:p w:rsidR="0052549E" w:rsidRPr="009737A3" w:rsidRDefault="0052549E" w:rsidP="00BE1045">
      <w:pPr>
        <w:pStyle w:val="Tekstfusnote"/>
        <w:spacing w:before="0" w:after="0"/>
        <w:jc w:val="left"/>
        <w:rPr>
          <w:sz w:val="18"/>
          <w:szCs w:val="18"/>
          <w:lang w:val="hr-HR"/>
        </w:rPr>
      </w:pPr>
      <w:r w:rsidRPr="009737A3">
        <w:rPr>
          <w:rStyle w:val="Referencafusnote"/>
          <w:sz w:val="18"/>
          <w:szCs w:val="18"/>
        </w:rPr>
        <w:footnoteRef/>
      </w:r>
      <w:proofErr w:type="spellStart"/>
      <w:r w:rsidRPr="009737A3">
        <w:rPr>
          <w:sz w:val="18"/>
          <w:szCs w:val="18"/>
          <w:lang w:val="hr-HR"/>
        </w:rPr>
        <w:t>Op</w:t>
      </w:r>
      <w:proofErr w:type="spellEnd"/>
      <w:r w:rsidRPr="009737A3">
        <w:rPr>
          <w:sz w:val="18"/>
          <w:szCs w:val="18"/>
          <w:lang w:val="hr-HR"/>
        </w:rPr>
        <w:t>. Note 4</w:t>
      </w:r>
    </w:p>
  </w:footnote>
  <w:footnote w:id="9">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lang w:val="hr-HR"/>
        </w:rPr>
        <w:t xml:space="preserve">Green </w:t>
      </w:r>
      <w:proofErr w:type="spellStart"/>
      <w:r w:rsidRPr="009737A3">
        <w:rPr>
          <w:sz w:val="18"/>
          <w:szCs w:val="18"/>
          <w:lang w:val="hr-HR"/>
        </w:rPr>
        <w:t>Paper</w:t>
      </w:r>
      <w:proofErr w:type="spellEnd"/>
      <w:r w:rsidRPr="009737A3">
        <w:rPr>
          <w:sz w:val="18"/>
          <w:szCs w:val="18"/>
          <w:lang w:val="hr-HR"/>
        </w:rPr>
        <w:t xml:space="preserve"> on </w:t>
      </w:r>
      <w:proofErr w:type="spellStart"/>
      <w:r w:rsidRPr="009737A3">
        <w:rPr>
          <w:sz w:val="18"/>
          <w:szCs w:val="18"/>
          <w:lang w:val="hr-HR"/>
        </w:rPr>
        <w:t>Verticalrestraints</w:t>
      </w:r>
      <w:proofErr w:type="spellEnd"/>
      <w:r w:rsidRPr="009737A3">
        <w:rPr>
          <w:sz w:val="18"/>
          <w:szCs w:val="18"/>
          <w:lang w:val="hr-HR"/>
        </w:rPr>
        <w:t xml:space="preserve">, </w:t>
      </w:r>
      <w:proofErr w:type="spellStart"/>
      <w:r w:rsidRPr="009737A3">
        <w:rPr>
          <w:sz w:val="18"/>
          <w:szCs w:val="18"/>
          <w:lang w:val="hr-HR"/>
        </w:rPr>
        <w:t>Exec</w:t>
      </w:r>
      <w:proofErr w:type="spellEnd"/>
      <w:r w:rsidRPr="009737A3">
        <w:rPr>
          <w:sz w:val="18"/>
          <w:szCs w:val="18"/>
          <w:lang w:val="hr-HR"/>
        </w:rPr>
        <w:t xml:space="preserve">. </w:t>
      </w:r>
      <w:proofErr w:type="spellStart"/>
      <w:r w:rsidRPr="009737A3">
        <w:rPr>
          <w:sz w:val="18"/>
          <w:szCs w:val="18"/>
          <w:lang w:val="hr-HR"/>
        </w:rPr>
        <w:t>Summary</w:t>
      </w:r>
      <w:proofErr w:type="spellEnd"/>
      <w:r w:rsidRPr="009737A3">
        <w:rPr>
          <w:sz w:val="18"/>
          <w:szCs w:val="18"/>
          <w:lang w:val="hr-HR"/>
        </w:rPr>
        <w:t xml:space="preserve"> stranica IV, §15; dostupno na </w:t>
      </w:r>
      <w:hyperlink r:id="rId2" w:history="1">
        <w:r w:rsidRPr="009737A3">
          <w:rPr>
            <w:rStyle w:val="Hiperveza"/>
            <w:color w:val="auto"/>
            <w:sz w:val="18"/>
            <w:szCs w:val="18"/>
            <w:u w:val="none"/>
            <w:lang w:val="hr-HR"/>
          </w:rPr>
          <w:t>http://europa.eu/documents/comm/green_papers/pdf/com96_721_en.pdf</w:t>
        </w:r>
      </w:hyperlink>
    </w:p>
  </w:footnote>
  <w:footnote w:id="10">
    <w:p w:rsidR="0052549E" w:rsidRPr="009737A3" w:rsidRDefault="0052549E" w:rsidP="00BE1045">
      <w:pPr>
        <w:pStyle w:val="Tekstfusnote"/>
        <w:jc w:val="left"/>
        <w:rPr>
          <w:sz w:val="18"/>
          <w:szCs w:val="18"/>
          <w:lang w:val="hr-HR"/>
        </w:rPr>
      </w:pPr>
      <w:r w:rsidRPr="009737A3">
        <w:rPr>
          <w:rStyle w:val="Referencafusnote"/>
          <w:sz w:val="18"/>
          <w:szCs w:val="18"/>
        </w:rPr>
        <w:footnoteRef/>
      </w:r>
      <w:proofErr w:type="spellStart"/>
      <w:r w:rsidRPr="009737A3">
        <w:rPr>
          <w:sz w:val="18"/>
          <w:szCs w:val="18"/>
          <w:lang w:val="hr-HR"/>
        </w:rPr>
        <w:t>Alison</w:t>
      </w:r>
      <w:proofErr w:type="spellEnd"/>
      <w:r w:rsidRPr="009737A3">
        <w:rPr>
          <w:sz w:val="18"/>
          <w:szCs w:val="18"/>
          <w:lang w:val="hr-HR"/>
        </w:rPr>
        <w:t xml:space="preserve"> stranica 787</w:t>
      </w:r>
    </w:p>
  </w:footnote>
  <w:footnote w:id="11">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lang w:val="hr-HR"/>
        </w:rPr>
        <w:t>Postoji još i jedna kategorija zabranjenih ugovornih odredbi. Navedene odredbe su izuzete iz primjene Uredbe o skupnom izuzeću, no okolnost da su one nevaljale ne utječe na valjanost ostatka ugovora ukoliko sporazum može funkcionirati i bez tih odredbi.</w:t>
      </w:r>
    </w:p>
  </w:footnote>
  <w:footnote w:id="12">
    <w:p w:rsidR="0052549E" w:rsidRPr="009737A3" w:rsidRDefault="0052549E" w:rsidP="00BE1045">
      <w:pPr>
        <w:pStyle w:val="Tekstfusnote"/>
        <w:spacing w:before="0" w:after="0"/>
        <w:jc w:val="left"/>
        <w:rPr>
          <w:sz w:val="18"/>
          <w:szCs w:val="18"/>
          <w:lang w:val="hr-HR"/>
        </w:rPr>
      </w:pPr>
      <w:r w:rsidRPr="009737A3">
        <w:rPr>
          <w:rStyle w:val="Referencafusnote"/>
          <w:sz w:val="18"/>
          <w:szCs w:val="18"/>
        </w:rPr>
        <w:footnoteRef/>
      </w:r>
      <w:r w:rsidRPr="009737A3">
        <w:rPr>
          <w:sz w:val="18"/>
          <w:szCs w:val="18"/>
          <w:lang w:val="hr-HR"/>
        </w:rPr>
        <w:t xml:space="preserve">Za komentar oko problematika kakva je prava </w:t>
      </w:r>
      <w:proofErr w:type="spellStart"/>
      <w:r w:rsidRPr="009737A3">
        <w:rPr>
          <w:sz w:val="18"/>
          <w:szCs w:val="18"/>
          <w:lang w:val="hr-HR"/>
        </w:rPr>
        <w:t>poslijedica</w:t>
      </w:r>
      <w:proofErr w:type="spellEnd"/>
      <w:r w:rsidRPr="009737A3">
        <w:rPr>
          <w:sz w:val="18"/>
          <w:szCs w:val="18"/>
          <w:lang w:val="hr-HR"/>
        </w:rPr>
        <w:t xml:space="preserve"> usklađenog </w:t>
      </w:r>
      <w:proofErr w:type="spellStart"/>
      <w:r w:rsidRPr="009737A3">
        <w:rPr>
          <w:sz w:val="18"/>
          <w:szCs w:val="18"/>
          <w:lang w:val="hr-HR"/>
        </w:rPr>
        <w:t>koluzivnog</w:t>
      </w:r>
      <w:proofErr w:type="spellEnd"/>
      <w:r w:rsidRPr="009737A3">
        <w:rPr>
          <w:sz w:val="18"/>
          <w:szCs w:val="18"/>
          <w:lang w:val="hr-HR"/>
        </w:rPr>
        <w:t xml:space="preserve"> djelovanja koji nema formalni pravni oblik koji bi mogao biti </w:t>
      </w:r>
      <w:proofErr w:type="spellStart"/>
      <w:r w:rsidRPr="009737A3">
        <w:rPr>
          <w:sz w:val="18"/>
          <w:szCs w:val="18"/>
          <w:lang w:val="hr-HR"/>
        </w:rPr>
        <w:t>ništetan</w:t>
      </w:r>
      <w:proofErr w:type="spellEnd"/>
      <w:r w:rsidRPr="009737A3">
        <w:rPr>
          <w:sz w:val="18"/>
          <w:szCs w:val="18"/>
          <w:lang w:val="hr-HR"/>
        </w:rPr>
        <w:t xml:space="preserve"> vidi.</w:t>
      </w:r>
    </w:p>
  </w:footnote>
  <w:footnote w:id="13">
    <w:p w:rsidR="0052549E" w:rsidRPr="009737A3" w:rsidRDefault="0052549E" w:rsidP="00BE1045">
      <w:pPr>
        <w:pStyle w:val="Tekstfusnote"/>
        <w:spacing w:before="0" w:after="0"/>
        <w:jc w:val="left"/>
        <w:rPr>
          <w:sz w:val="18"/>
          <w:szCs w:val="18"/>
          <w:lang w:val="hr-HR"/>
        </w:rPr>
      </w:pPr>
      <w:r w:rsidRPr="009737A3">
        <w:rPr>
          <w:rStyle w:val="Referencafusnote"/>
          <w:sz w:val="18"/>
          <w:szCs w:val="18"/>
        </w:rPr>
        <w:footnoteRef/>
      </w:r>
      <w:hyperlink r:id="rId3" w:tgtFrame="_blank" w:history="1">
        <w:proofErr w:type="spellStart"/>
        <w:r w:rsidRPr="009737A3">
          <w:rPr>
            <w:rStyle w:val="Hiperveza"/>
            <w:rFonts w:eastAsiaTheme="majorEastAsia"/>
            <w:color w:val="auto"/>
            <w:sz w:val="18"/>
            <w:szCs w:val="18"/>
            <w:u w:val="none"/>
            <w:lang w:val="hr-HR"/>
          </w:rPr>
          <w:t>člank</w:t>
        </w:r>
        <w:proofErr w:type="spellEnd"/>
        <w:r w:rsidRPr="009737A3">
          <w:rPr>
            <w:rStyle w:val="Hiperveza"/>
            <w:rFonts w:eastAsiaTheme="majorEastAsia"/>
            <w:color w:val="auto"/>
            <w:sz w:val="18"/>
            <w:szCs w:val="18"/>
            <w:u w:val="none"/>
            <w:lang w:val="hr-HR"/>
          </w:rPr>
          <w:t xml:space="preserve"> 23. stavku 2. točki (a) </w:t>
        </w:r>
        <w:hyperlink r:id="rId4" w:tgtFrame="_blank" w:history="1">
          <w:r w:rsidRPr="009737A3">
            <w:rPr>
              <w:rStyle w:val="Hiperveza"/>
              <w:rFonts w:eastAsiaTheme="majorEastAsia"/>
              <w:color w:val="auto"/>
              <w:sz w:val="18"/>
              <w:szCs w:val="18"/>
              <w:u w:val="none"/>
              <w:lang w:val="hr-HR"/>
            </w:rPr>
            <w:t>UREDBA VIJEĆA br.1/2003 od 16. prosinca 2002. o provedbi pravila o tržišnom natjecanju utvrđenim u člancima 81. i 82. Ugovora o osnivanju Europske zajednice</w:t>
          </w:r>
        </w:hyperlink>
        <w:r w:rsidRPr="009737A3">
          <w:rPr>
            <w:sz w:val="18"/>
            <w:szCs w:val="18"/>
            <w:lang w:val="hr-HR"/>
          </w:rPr>
          <w:t xml:space="preserve"> Službeni List L 001, 04.01.2003.</w:t>
        </w:r>
      </w:hyperlink>
      <w:r w:rsidRPr="009737A3">
        <w:rPr>
          <w:sz w:val="18"/>
          <w:szCs w:val="18"/>
          <w:lang w:val="hr-HR"/>
        </w:rPr>
        <w:t xml:space="preserve">; </w:t>
      </w:r>
      <w:r w:rsidRPr="009737A3">
        <w:rPr>
          <w:sz w:val="18"/>
          <w:szCs w:val="18"/>
        </w:rPr>
        <w:fldChar w:fldCharType="begin"/>
      </w:r>
      <w:r w:rsidRPr="009737A3">
        <w:rPr>
          <w:sz w:val="18"/>
          <w:szCs w:val="18"/>
          <w:lang w:val="hr-HR"/>
        </w:rPr>
        <w:instrText xml:space="preserve"> HYPERLINK "http://www.aztn.hr/uploads/documents/tn/prijevodi/Smjernice_utvrdjivanju_kazni.pdf" \t "_blank" </w:instrText>
      </w:r>
      <w:r w:rsidRPr="009737A3">
        <w:rPr>
          <w:sz w:val="18"/>
          <w:szCs w:val="18"/>
        </w:rPr>
        <w:fldChar w:fldCharType="separate"/>
      </w:r>
      <w:r w:rsidRPr="009737A3">
        <w:rPr>
          <w:rStyle w:val="Hiperveza"/>
          <w:rFonts w:eastAsiaTheme="majorEastAsia"/>
          <w:color w:val="auto"/>
          <w:sz w:val="18"/>
          <w:szCs w:val="18"/>
          <w:u w:val="none"/>
          <w:lang w:val="hr-HR"/>
        </w:rPr>
        <w:t xml:space="preserve">Smjernice Europske komisije o načinu utvrđivanja novčanih kazni koje se izriču sukladno članku 23. stavku 2. točki (a) Uredbe br. 1/2003 </w:t>
      </w:r>
      <w:r w:rsidRPr="009737A3">
        <w:rPr>
          <w:sz w:val="18"/>
          <w:szCs w:val="18"/>
          <w:lang w:val="hr-HR"/>
        </w:rPr>
        <w:t>Službeni list C 210, 01.09.2006.</w:t>
      </w:r>
      <w:r w:rsidRPr="009737A3">
        <w:rPr>
          <w:sz w:val="18"/>
          <w:szCs w:val="18"/>
          <w:lang w:val="hr-HR"/>
        </w:rPr>
        <w:br/>
      </w:r>
      <w:r w:rsidRPr="009737A3">
        <w:rPr>
          <w:sz w:val="18"/>
          <w:szCs w:val="18"/>
          <w:lang w:val="hr-HR"/>
        </w:rPr>
        <w:fldChar w:fldCharType="end"/>
      </w:r>
    </w:p>
  </w:footnote>
  <w:footnote w:id="14">
    <w:p w:rsidR="0052549E" w:rsidRPr="009737A3" w:rsidRDefault="0052549E" w:rsidP="00BE1045">
      <w:pPr>
        <w:pStyle w:val="Tekstfusnote"/>
        <w:spacing w:before="0" w:after="0"/>
        <w:jc w:val="left"/>
        <w:rPr>
          <w:sz w:val="18"/>
          <w:szCs w:val="18"/>
          <w:lang w:val="hr-HR"/>
        </w:rPr>
      </w:pPr>
      <w:r w:rsidRPr="009737A3">
        <w:rPr>
          <w:rStyle w:val="Referencafusnote"/>
          <w:sz w:val="18"/>
          <w:szCs w:val="18"/>
        </w:rPr>
        <w:footnoteRef/>
      </w:r>
      <w:r w:rsidRPr="009737A3">
        <w:rPr>
          <w:sz w:val="18"/>
          <w:szCs w:val="18"/>
          <w:lang w:val="hr-HR"/>
        </w:rPr>
        <w:t xml:space="preserve">Nacionalna prava država članica su predvidjela i kaznenu odgovornost stranke zabranjenog sporazuma za kršenje odredbi prava tržišnog natjecanja, kako nacionalnog tako i europskog prava. Države članice poput Velike Britanije su otišle i korak dalje, te </w:t>
      </w:r>
      <w:proofErr w:type="spellStart"/>
      <w:r w:rsidRPr="009737A3">
        <w:rPr>
          <w:sz w:val="18"/>
          <w:szCs w:val="18"/>
          <w:lang w:val="hr-HR"/>
        </w:rPr>
        <w:t>CompetitionAct</w:t>
      </w:r>
      <w:proofErr w:type="spellEnd"/>
      <w:r w:rsidRPr="009737A3">
        <w:rPr>
          <w:sz w:val="18"/>
          <w:szCs w:val="18"/>
          <w:lang w:val="hr-HR"/>
        </w:rPr>
        <w:t xml:space="preserve"> propisuje i kaznenu odgovornost odgovorne osobe u poduzetniku. Međutim, nužno je istaknuti da kazneno pravo je isključivo u nadležnosti država članica i </w:t>
      </w:r>
      <w:proofErr w:type="spellStart"/>
      <w:r w:rsidRPr="009737A3">
        <w:rPr>
          <w:sz w:val="18"/>
          <w:szCs w:val="18"/>
          <w:lang w:val="hr-HR"/>
        </w:rPr>
        <w:t>ostaja</w:t>
      </w:r>
      <w:proofErr w:type="spellEnd"/>
      <w:r w:rsidRPr="009737A3">
        <w:rPr>
          <w:sz w:val="18"/>
          <w:szCs w:val="18"/>
          <w:lang w:val="hr-HR"/>
        </w:rPr>
        <w:t xml:space="preserve"> na diskreciji </w:t>
      </w:r>
      <w:proofErr w:type="spellStart"/>
      <w:r w:rsidRPr="009737A3">
        <w:rPr>
          <w:sz w:val="18"/>
          <w:szCs w:val="18"/>
          <w:lang w:val="hr-HR"/>
        </w:rPr>
        <w:t>njigovih</w:t>
      </w:r>
      <w:proofErr w:type="spellEnd"/>
      <w:r w:rsidRPr="009737A3">
        <w:rPr>
          <w:sz w:val="18"/>
          <w:szCs w:val="18"/>
          <w:lang w:val="hr-HR"/>
        </w:rPr>
        <w:t xml:space="preserve"> legislativnih tijela da li će </w:t>
      </w:r>
      <w:proofErr w:type="spellStart"/>
      <w:r w:rsidRPr="009737A3">
        <w:rPr>
          <w:sz w:val="18"/>
          <w:szCs w:val="18"/>
          <w:lang w:val="hr-HR"/>
        </w:rPr>
        <w:t>predvijdejti</w:t>
      </w:r>
      <w:proofErr w:type="spellEnd"/>
      <w:r w:rsidRPr="009737A3">
        <w:rPr>
          <w:sz w:val="18"/>
          <w:szCs w:val="18"/>
          <w:lang w:val="hr-HR"/>
        </w:rPr>
        <w:t xml:space="preserve"> i kaznu </w:t>
      </w:r>
      <w:proofErr w:type="spellStart"/>
      <w:r w:rsidRPr="009737A3">
        <w:rPr>
          <w:sz w:val="18"/>
          <w:szCs w:val="18"/>
          <w:lang w:val="hr-HR"/>
        </w:rPr>
        <w:t>snakciju</w:t>
      </w:r>
      <w:proofErr w:type="spellEnd"/>
      <w:r w:rsidRPr="009737A3">
        <w:rPr>
          <w:sz w:val="18"/>
          <w:szCs w:val="18"/>
          <w:lang w:val="hr-HR"/>
        </w:rPr>
        <w:t xml:space="preserve"> za kršenje prav </w:t>
      </w:r>
      <w:proofErr w:type="spellStart"/>
      <w:r w:rsidRPr="009737A3">
        <w:rPr>
          <w:sz w:val="18"/>
          <w:szCs w:val="18"/>
          <w:lang w:val="hr-HR"/>
        </w:rPr>
        <w:t>atržišnog</w:t>
      </w:r>
      <w:proofErr w:type="spellEnd"/>
      <w:r w:rsidRPr="009737A3">
        <w:rPr>
          <w:sz w:val="18"/>
          <w:szCs w:val="18"/>
          <w:lang w:val="hr-HR"/>
        </w:rPr>
        <w:t xml:space="preserve"> natjecanja. </w:t>
      </w:r>
    </w:p>
  </w:footnote>
  <w:footnote w:id="15">
    <w:p w:rsidR="0052549E" w:rsidRPr="009737A3" w:rsidRDefault="0052549E" w:rsidP="00BE1045">
      <w:pPr>
        <w:pStyle w:val="Tekstfusnote"/>
        <w:jc w:val="left"/>
        <w:rPr>
          <w:sz w:val="18"/>
          <w:szCs w:val="18"/>
          <w:lang w:val="hr-HR"/>
        </w:rPr>
      </w:pPr>
      <w:r w:rsidRPr="009737A3">
        <w:rPr>
          <w:rStyle w:val="Referencafusnote"/>
          <w:sz w:val="18"/>
          <w:szCs w:val="18"/>
        </w:rPr>
        <w:footnoteRef/>
      </w:r>
      <w:proofErr w:type="spellStart"/>
      <w:r w:rsidRPr="009737A3">
        <w:rPr>
          <w:i/>
          <w:sz w:val="18"/>
          <w:szCs w:val="18"/>
          <w:lang w:val="hr-HR"/>
        </w:rPr>
        <w:t>CommunicationfromtheCommission</w:t>
      </w:r>
      <w:proofErr w:type="spellEnd"/>
      <w:r w:rsidRPr="009737A3">
        <w:rPr>
          <w:i/>
          <w:sz w:val="18"/>
          <w:szCs w:val="18"/>
          <w:lang w:val="hr-HR"/>
        </w:rPr>
        <w:t xml:space="preserve"> on </w:t>
      </w:r>
      <w:proofErr w:type="spellStart"/>
      <w:r w:rsidRPr="009737A3">
        <w:rPr>
          <w:i/>
          <w:sz w:val="18"/>
          <w:szCs w:val="18"/>
          <w:lang w:val="hr-HR"/>
        </w:rPr>
        <w:t>theApplicationoftheCommunityCompetitionRules</w:t>
      </w:r>
      <w:proofErr w:type="spellEnd"/>
      <w:r w:rsidRPr="009737A3">
        <w:rPr>
          <w:i/>
          <w:sz w:val="18"/>
          <w:szCs w:val="18"/>
          <w:lang w:val="hr-HR"/>
        </w:rPr>
        <w:t xml:space="preserve"> to </w:t>
      </w:r>
      <w:proofErr w:type="spellStart"/>
      <w:r w:rsidRPr="009737A3">
        <w:rPr>
          <w:i/>
          <w:sz w:val="18"/>
          <w:szCs w:val="18"/>
          <w:lang w:val="hr-HR"/>
        </w:rPr>
        <w:t>VerticalRestraints</w:t>
      </w:r>
      <w:proofErr w:type="spellEnd"/>
      <w:r w:rsidRPr="009737A3">
        <w:rPr>
          <w:i/>
          <w:sz w:val="18"/>
          <w:szCs w:val="18"/>
          <w:lang w:val="hr-HR"/>
        </w:rPr>
        <w:t xml:space="preserve">: </w:t>
      </w:r>
      <w:proofErr w:type="spellStart"/>
      <w:r w:rsidRPr="009737A3">
        <w:rPr>
          <w:i/>
          <w:sz w:val="18"/>
          <w:szCs w:val="18"/>
          <w:lang w:val="hr-HR"/>
        </w:rPr>
        <w:t>Follow</w:t>
      </w:r>
      <w:proofErr w:type="spellEnd"/>
      <w:r w:rsidRPr="009737A3">
        <w:rPr>
          <w:i/>
          <w:sz w:val="18"/>
          <w:szCs w:val="18"/>
          <w:lang w:val="hr-HR"/>
        </w:rPr>
        <w:t>-</w:t>
      </w:r>
      <w:proofErr w:type="spellStart"/>
      <w:r w:rsidRPr="009737A3">
        <w:rPr>
          <w:i/>
          <w:sz w:val="18"/>
          <w:szCs w:val="18"/>
          <w:lang w:val="hr-HR"/>
        </w:rPr>
        <w:t>up</w:t>
      </w:r>
      <w:proofErr w:type="spellEnd"/>
      <w:r w:rsidRPr="009737A3">
        <w:rPr>
          <w:i/>
          <w:sz w:val="18"/>
          <w:szCs w:val="18"/>
          <w:lang w:val="hr-HR"/>
        </w:rPr>
        <w:t xml:space="preserve"> to </w:t>
      </w:r>
      <w:proofErr w:type="spellStart"/>
      <w:r w:rsidRPr="009737A3">
        <w:rPr>
          <w:i/>
          <w:sz w:val="18"/>
          <w:szCs w:val="18"/>
          <w:lang w:val="hr-HR"/>
        </w:rPr>
        <w:t>the</w:t>
      </w:r>
      <w:proofErr w:type="spellEnd"/>
      <w:r w:rsidRPr="009737A3">
        <w:rPr>
          <w:i/>
          <w:sz w:val="18"/>
          <w:szCs w:val="18"/>
          <w:lang w:val="hr-HR"/>
        </w:rPr>
        <w:t xml:space="preserve"> Green </w:t>
      </w:r>
      <w:proofErr w:type="spellStart"/>
      <w:r w:rsidRPr="009737A3">
        <w:rPr>
          <w:i/>
          <w:sz w:val="18"/>
          <w:szCs w:val="18"/>
          <w:lang w:val="hr-HR"/>
        </w:rPr>
        <w:t>paper</w:t>
      </w:r>
      <w:proofErr w:type="spellEnd"/>
      <w:r w:rsidRPr="009737A3">
        <w:rPr>
          <w:i/>
          <w:sz w:val="18"/>
          <w:szCs w:val="18"/>
          <w:lang w:val="hr-HR"/>
        </w:rPr>
        <w:t xml:space="preserve"> on </w:t>
      </w:r>
      <w:proofErr w:type="spellStart"/>
      <w:r w:rsidRPr="009737A3">
        <w:rPr>
          <w:i/>
          <w:sz w:val="18"/>
          <w:szCs w:val="18"/>
          <w:lang w:val="hr-HR"/>
        </w:rPr>
        <w:t>theVerticalRestraints</w:t>
      </w:r>
      <w:r w:rsidRPr="009737A3">
        <w:rPr>
          <w:sz w:val="18"/>
          <w:szCs w:val="18"/>
          <w:lang w:val="hr-HR"/>
        </w:rPr>
        <w:t>COM</w:t>
      </w:r>
      <w:proofErr w:type="spellEnd"/>
      <w:r w:rsidRPr="009737A3">
        <w:rPr>
          <w:sz w:val="18"/>
          <w:szCs w:val="18"/>
          <w:lang w:val="hr-HR"/>
        </w:rPr>
        <w:t xml:space="preserve">(98) 544 </w:t>
      </w:r>
      <w:proofErr w:type="spellStart"/>
      <w:r w:rsidRPr="009737A3">
        <w:rPr>
          <w:sz w:val="18"/>
          <w:szCs w:val="18"/>
          <w:lang w:val="hr-HR"/>
        </w:rPr>
        <w:t>final</w:t>
      </w:r>
      <w:proofErr w:type="spellEnd"/>
      <w:r w:rsidRPr="009737A3">
        <w:rPr>
          <w:sz w:val="18"/>
          <w:szCs w:val="18"/>
          <w:lang w:val="hr-HR"/>
        </w:rPr>
        <w:t>, stranica 4</w:t>
      </w:r>
    </w:p>
  </w:footnote>
  <w:footnote w:id="16">
    <w:p w:rsidR="0052549E" w:rsidRPr="009737A3" w:rsidRDefault="0052549E" w:rsidP="00BE1045">
      <w:pPr>
        <w:autoSpaceDE w:val="0"/>
        <w:autoSpaceDN w:val="0"/>
        <w:adjustRightInd w:val="0"/>
        <w:spacing w:before="0" w:after="0" w:line="240" w:lineRule="auto"/>
        <w:jc w:val="left"/>
        <w:rPr>
          <w:i/>
          <w:iCs/>
          <w:sz w:val="18"/>
          <w:szCs w:val="18"/>
          <w:lang w:val="hr-HR"/>
        </w:rPr>
      </w:pPr>
      <w:r w:rsidRPr="009737A3">
        <w:rPr>
          <w:rStyle w:val="Referencafusnote"/>
          <w:sz w:val="18"/>
          <w:szCs w:val="18"/>
        </w:rPr>
        <w:footnoteRef/>
      </w:r>
      <w:proofErr w:type="spellStart"/>
      <w:r w:rsidRPr="009737A3">
        <w:rPr>
          <w:sz w:val="18"/>
          <w:szCs w:val="18"/>
          <w:lang w:val="hr-HR"/>
        </w:rPr>
        <w:t>Case</w:t>
      </w:r>
      <w:proofErr w:type="spellEnd"/>
      <w:r w:rsidRPr="009737A3">
        <w:rPr>
          <w:sz w:val="18"/>
          <w:szCs w:val="18"/>
          <w:lang w:val="hr-HR"/>
        </w:rPr>
        <w:t xml:space="preserve"> C-5/69 </w:t>
      </w:r>
      <w:proofErr w:type="spellStart"/>
      <w:r w:rsidRPr="009737A3">
        <w:rPr>
          <w:i/>
          <w:iCs/>
          <w:sz w:val="18"/>
          <w:szCs w:val="18"/>
          <w:lang w:val="hr-HR"/>
        </w:rPr>
        <w:t>FranzVölk</w:t>
      </w:r>
      <w:proofErr w:type="spellEnd"/>
      <w:r w:rsidRPr="009737A3">
        <w:rPr>
          <w:i/>
          <w:iCs/>
          <w:sz w:val="18"/>
          <w:szCs w:val="18"/>
          <w:lang w:val="hr-HR"/>
        </w:rPr>
        <w:t xml:space="preserve"> v </w:t>
      </w:r>
      <w:proofErr w:type="spellStart"/>
      <w:r w:rsidRPr="009737A3">
        <w:rPr>
          <w:i/>
          <w:iCs/>
          <w:sz w:val="18"/>
          <w:szCs w:val="18"/>
          <w:lang w:val="hr-HR"/>
        </w:rPr>
        <w:t>SPRLEts</w:t>
      </w:r>
      <w:proofErr w:type="spellEnd"/>
      <w:r w:rsidRPr="009737A3">
        <w:rPr>
          <w:i/>
          <w:iCs/>
          <w:sz w:val="18"/>
          <w:szCs w:val="18"/>
          <w:lang w:val="hr-HR"/>
        </w:rPr>
        <w:t xml:space="preserve"> J </w:t>
      </w:r>
      <w:proofErr w:type="spellStart"/>
      <w:r w:rsidRPr="009737A3">
        <w:rPr>
          <w:i/>
          <w:iCs/>
          <w:sz w:val="18"/>
          <w:szCs w:val="18"/>
          <w:lang w:val="hr-HR"/>
        </w:rPr>
        <w:t>Vervaecke</w:t>
      </w:r>
      <w:proofErr w:type="spellEnd"/>
      <w:r w:rsidRPr="009737A3">
        <w:rPr>
          <w:sz w:val="18"/>
          <w:szCs w:val="18"/>
          <w:lang w:val="hr-HR"/>
        </w:rPr>
        <w:t xml:space="preserve">[1969] </w:t>
      </w:r>
      <w:proofErr w:type="spellStart"/>
      <w:r w:rsidRPr="009737A3">
        <w:rPr>
          <w:sz w:val="18"/>
          <w:szCs w:val="18"/>
          <w:lang w:val="hr-HR"/>
        </w:rPr>
        <w:t>ECR</w:t>
      </w:r>
      <w:proofErr w:type="spellEnd"/>
      <w:r w:rsidRPr="009737A3">
        <w:rPr>
          <w:sz w:val="18"/>
          <w:szCs w:val="18"/>
          <w:lang w:val="hr-HR"/>
        </w:rPr>
        <w:t xml:space="preserve"> 295; </w:t>
      </w:r>
      <w:proofErr w:type="spellStart"/>
      <w:r w:rsidRPr="009737A3">
        <w:rPr>
          <w:sz w:val="18"/>
          <w:szCs w:val="18"/>
          <w:lang w:val="hr-HR"/>
        </w:rPr>
        <w:t>Case</w:t>
      </w:r>
      <w:proofErr w:type="spellEnd"/>
      <w:r w:rsidRPr="009737A3">
        <w:rPr>
          <w:sz w:val="18"/>
          <w:szCs w:val="18"/>
          <w:lang w:val="hr-HR"/>
        </w:rPr>
        <w:t xml:space="preserve"> C-28/77 </w:t>
      </w:r>
      <w:proofErr w:type="spellStart"/>
      <w:r w:rsidRPr="009737A3">
        <w:rPr>
          <w:i/>
          <w:iCs/>
          <w:sz w:val="18"/>
          <w:szCs w:val="18"/>
          <w:lang w:val="hr-HR"/>
        </w:rPr>
        <w:t>TepeaBV</w:t>
      </w:r>
      <w:proofErr w:type="spellEnd"/>
      <w:r w:rsidRPr="009737A3">
        <w:rPr>
          <w:i/>
          <w:iCs/>
          <w:sz w:val="18"/>
          <w:szCs w:val="18"/>
          <w:lang w:val="hr-HR"/>
        </w:rPr>
        <w:t xml:space="preserve"> v </w:t>
      </w:r>
      <w:proofErr w:type="spellStart"/>
      <w:r w:rsidRPr="009737A3">
        <w:rPr>
          <w:i/>
          <w:iCs/>
          <w:sz w:val="18"/>
          <w:szCs w:val="18"/>
          <w:lang w:val="hr-HR"/>
        </w:rPr>
        <w:t>Commission</w:t>
      </w:r>
      <w:proofErr w:type="spellEnd"/>
      <w:r w:rsidRPr="009737A3">
        <w:rPr>
          <w:sz w:val="18"/>
          <w:szCs w:val="18"/>
          <w:lang w:val="hr-HR"/>
        </w:rPr>
        <w:t xml:space="preserve">[1978] </w:t>
      </w:r>
      <w:proofErr w:type="spellStart"/>
      <w:r w:rsidRPr="009737A3">
        <w:rPr>
          <w:sz w:val="18"/>
          <w:szCs w:val="18"/>
          <w:lang w:val="hr-HR"/>
        </w:rPr>
        <w:t>ECR</w:t>
      </w:r>
      <w:proofErr w:type="spellEnd"/>
      <w:r w:rsidRPr="009737A3">
        <w:rPr>
          <w:sz w:val="18"/>
          <w:szCs w:val="18"/>
          <w:lang w:val="hr-HR"/>
        </w:rPr>
        <w:t xml:space="preserve"> 1391;</w:t>
      </w:r>
      <w:proofErr w:type="spellStart"/>
      <w:r w:rsidRPr="009737A3">
        <w:rPr>
          <w:sz w:val="18"/>
          <w:szCs w:val="18"/>
          <w:lang w:val="hr-HR"/>
        </w:rPr>
        <w:t>Case</w:t>
      </w:r>
      <w:proofErr w:type="spellEnd"/>
      <w:r w:rsidRPr="009737A3">
        <w:rPr>
          <w:sz w:val="18"/>
          <w:szCs w:val="18"/>
          <w:lang w:val="hr-HR"/>
        </w:rPr>
        <w:t xml:space="preserve"> C-31/80 </w:t>
      </w:r>
      <w:r w:rsidRPr="009737A3">
        <w:rPr>
          <w:i/>
          <w:iCs/>
          <w:sz w:val="18"/>
          <w:szCs w:val="18"/>
          <w:lang w:val="hr-HR"/>
        </w:rPr>
        <w:t>L’</w:t>
      </w:r>
      <w:proofErr w:type="spellStart"/>
      <w:r w:rsidRPr="009737A3">
        <w:rPr>
          <w:i/>
          <w:iCs/>
          <w:sz w:val="18"/>
          <w:szCs w:val="18"/>
          <w:lang w:val="hr-HR"/>
        </w:rPr>
        <w:t>OréalNVand</w:t>
      </w:r>
      <w:proofErr w:type="spellEnd"/>
      <w:r w:rsidRPr="009737A3">
        <w:rPr>
          <w:i/>
          <w:iCs/>
          <w:sz w:val="18"/>
          <w:szCs w:val="18"/>
          <w:lang w:val="hr-HR"/>
        </w:rPr>
        <w:t xml:space="preserve"> L’</w:t>
      </w:r>
      <w:proofErr w:type="spellStart"/>
      <w:r w:rsidRPr="009737A3">
        <w:rPr>
          <w:i/>
          <w:iCs/>
          <w:sz w:val="18"/>
          <w:szCs w:val="18"/>
          <w:lang w:val="hr-HR"/>
        </w:rPr>
        <w:t>OréalSV</w:t>
      </w:r>
      <w:proofErr w:type="spellEnd"/>
      <w:r w:rsidRPr="009737A3">
        <w:rPr>
          <w:i/>
          <w:iCs/>
          <w:sz w:val="18"/>
          <w:szCs w:val="18"/>
          <w:lang w:val="hr-HR"/>
        </w:rPr>
        <w:t xml:space="preserve"> v De </w:t>
      </w:r>
      <w:proofErr w:type="spellStart"/>
      <w:r w:rsidRPr="009737A3">
        <w:rPr>
          <w:i/>
          <w:iCs/>
          <w:sz w:val="18"/>
          <w:szCs w:val="18"/>
          <w:lang w:val="hr-HR"/>
        </w:rPr>
        <w:t>NieuweAMCKPVBA</w:t>
      </w:r>
      <w:proofErr w:type="spellEnd"/>
      <w:r w:rsidRPr="009737A3">
        <w:rPr>
          <w:sz w:val="18"/>
          <w:szCs w:val="18"/>
          <w:lang w:val="hr-HR"/>
        </w:rPr>
        <w:t xml:space="preserve">[1980] </w:t>
      </w:r>
      <w:proofErr w:type="spellStart"/>
      <w:r w:rsidRPr="009737A3">
        <w:rPr>
          <w:sz w:val="18"/>
          <w:szCs w:val="18"/>
          <w:lang w:val="hr-HR"/>
        </w:rPr>
        <w:t>ECR</w:t>
      </w:r>
      <w:proofErr w:type="spellEnd"/>
      <w:r w:rsidRPr="009737A3">
        <w:rPr>
          <w:sz w:val="18"/>
          <w:szCs w:val="18"/>
          <w:lang w:val="hr-HR"/>
        </w:rPr>
        <w:t xml:space="preserve"> 3775; </w:t>
      </w:r>
      <w:proofErr w:type="spellStart"/>
      <w:r w:rsidRPr="009737A3">
        <w:rPr>
          <w:sz w:val="18"/>
          <w:szCs w:val="18"/>
          <w:lang w:val="hr-HR"/>
        </w:rPr>
        <w:t>CaseC</w:t>
      </w:r>
      <w:proofErr w:type="spellEnd"/>
      <w:r w:rsidRPr="009737A3">
        <w:rPr>
          <w:sz w:val="18"/>
          <w:szCs w:val="18"/>
          <w:lang w:val="hr-HR"/>
        </w:rPr>
        <w:t xml:space="preserve">-61/80 </w:t>
      </w:r>
      <w:proofErr w:type="spellStart"/>
      <w:r w:rsidRPr="009737A3">
        <w:rPr>
          <w:i/>
          <w:iCs/>
          <w:sz w:val="18"/>
          <w:szCs w:val="18"/>
          <w:lang w:val="hr-HR"/>
        </w:rPr>
        <w:t>CöoperatieveStremsell</w:t>
      </w:r>
      <w:proofErr w:type="spellEnd"/>
      <w:r w:rsidRPr="009737A3">
        <w:rPr>
          <w:i/>
          <w:iCs/>
          <w:sz w:val="18"/>
          <w:szCs w:val="18"/>
          <w:lang w:val="hr-HR"/>
        </w:rPr>
        <w:t>-</w:t>
      </w:r>
      <w:proofErr w:type="spellStart"/>
      <w:r w:rsidRPr="009737A3">
        <w:rPr>
          <w:i/>
          <w:iCs/>
          <w:sz w:val="18"/>
          <w:szCs w:val="18"/>
          <w:lang w:val="hr-HR"/>
        </w:rPr>
        <w:t>enKleurselfabriek</w:t>
      </w:r>
      <w:proofErr w:type="spellEnd"/>
      <w:r w:rsidRPr="009737A3">
        <w:rPr>
          <w:i/>
          <w:iCs/>
          <w:sz w:val="18"/>
          <w:szCs w:val="18"/>
          <w:lang w:val="hr-HR"/>
        </w:rPr>
        <w:t xml:space="preserve"> v </w:t>
      </w:r>
      <w:proofErr w:type="spellStart"/>
      <w:r w:rsidRPr="009737A3">
        <w:rPr>
          <w:i/>
          <w:iCs/>
          <w:sz w:val="18"/>
          <w:szCs w:val="18"/>
          <w:lang w:val="hr-HR"/>
        </w:rPr>
        <w:t>Commission</w:t>
      </w:r>
      <w:proofErr w:type="spellEnd"/>
      <w:r w:rsidRPr="009737A3">
        <w:rPr>
          <w:sz w:val="18"/>
          <w:szCs w:val="18"/>
          <w:lang w:val="hr-HR"/>
        </w:rPr>
        <w:t xml:space="preserve">[1981] </w:t>
      </w:r>
      <w:proofErr w:type="spellStart"/>
      <w:r w:rsidRPr="009737A3">
        <w:rPr>
          <w:sz w:val="18"/>
          <w:szCs w:val="18"/>
          <w:lang w:val="hr-HR"/>
        </w:rPr>
        <w:t>ECR</w:t>
      </w:r>
      <w:proofErr w:type="spellEnd"/>
      <w:r w:rsidRPr="009737A3">
        <w:rPr>
          <w:sz w:val="18"/>
          <w:szCs w:val="18"/>
          <w:lang w:val="hr-HR"/>
        </w:rPr>
        <w:t xml:space="preserve"> 811; </w:t>
      </w:r>
      <w:proofErr w:type="spellStart"/>
      <w:r w:rsidRPr="009737A3">
        <w:rPr>
          <w:sz w:val="18"/>
          <w:szCs w:val="18"/>
          <w:lang w:val="hr-HR"/>
        </w:rPr>
        <w:t>Case</w:t>
      </w:r>
      <w:proofErr w:type="spellEnd"/>
      <w:r w:rsidRPr="009737A3">
        <w:rPr>
          <w:sz w:val="18"/>
          <w:szCs w:val="18"/>
          <w:lang w:val="hr-HR"/>
        </w:rPr>
        <w:t xml:space="preserve"> C-107/82</w:t>
      </w:r>
      <w:r w:rsidRPr="009737A3">
        <w:rPr>
          <w:i/>
          <w:iCs/>
          <w:sz w:val="18"/>
          <w:szCs w:val="18"/>
          <w:lang w:val="hr-HR"/>
        </w:rPr>
        <w:t>AEG-</w:t>
      </w:r>
      <w:proofErr w:type="spellStart"/>
      <w:r w:rsidRPr="009737A3">
        <w:rPr>
          <w:i/>
          <w:iCs/>
          <w:sz w:val="18"/>
          <w:szCs w:val="18"/>
          <w:lang w:val="hr-HR"/>
        </w:rPr>
        <w:t>Telefunken</w:t>
      </w:r>
      <w:proofErr w:type="spellEnd"/>
      <w:r w:rsidRPr="009737A3">
        <w:rPr>
          <w:i/>
          <w:iCs/>
          <w:sz w:val="18"/>
          <w:szCs w:val="18"/>
          <w:lang w:val="hr-HR"/>
        </w:rPr>
        <w:t xml:space="preserve"> v </w:t>
      </w:r>
      <w:proofErr w:type="spellStart"/>
      <w:r w:rsidRPr="009737A3">
        <w:rPr>
          <w:i/>
          <w:iCs/>
          <w:sz w:val="18"/>
          <w:szCs w:val="18"/>
          <w:lang w:val="hr-HR"/>
        </w:rPr>
        <w:t>Commission</w:t>
      </w:r>
      <w:proofErr w:type="spellEnd"/>
      <w:r w:rsidRPr="009737A3">
        <w:rPr>
          <w:sz w:val="18"/>
          <w:szCs w:val="18"/>
          <w:lang w:val="hr-HR"/>
        </w:rPr>
        <w:t xml:space="preserve">[1983] </w:t>
      </w:r>
      <w:proofErr w:type="spellStart"/>
      <w:r w:rsidRPr="009737A3">
        <w:rPr>
          <w:sz w:val="18"/>
          <w:szCs w:val="18"/>
          <w:lang w:val="hr-HR"/>
        </w:rPr>
        <w:t>ECR</w:t>
      </w:r>
      <w:proofErr w:type="spellEnd"/>
      <w:r w:rsidRPr="009737A3">
        <w:rPr>
          <w:sz w:val="18"/>
          <w:szCs w:val="18"/>
          <w:lang w:val="hr-HR"/>
        </w:rPr>
        <w:t xml:space="preserve"> 3151.</w:t>
      </w:r>
    </w:p>
  </w:footnote>
  <w:footnote w:id="17">
    <w:p w:rsidR="0052549E" w:rsidRPr="009737A3" w:rsidRDefault="0052549E" w:rsidP="00BE1045">
      <w:pPr>
        <w:autoSpaceDE w:val="0"/>
        <w:autoSpaceDN w:val="0"/>
        <w:adjustRightInd w:val="0"/>
        <w:spacing w:line="240" w:lineRule="auto"/>
        <w:jc w:val="left"/>
        <w:rPr>
          <w:sz w:val="18"/>
          <w:szCs w:val="18"/>
          <w:lang w:val="hr-HR"/>
        </w:rPr>
      </w:pPr>
      <w:r w:rsidRPr="009737A3">
        <w:rPr>
          <w:rStyle w:val="Referencafusnote"/>
          <w:sz w:val="18"/>
          <w:szCs w:val="18"/>
        </w:rPr>
        <w:footnoteRef/>
      </w:r>
      <w:r w:rsidRPr="009737A3">
        <w:rPr>
          <w:rFonts w:eastAsia="BemboA"/>
          <w:sz w:val="18"/>
          <w:szCs w:val="18"/>
          <w:lang w:val="hr-HR"/>
        </w:rPr>
        <w:t xml:space="preserve">Povezani predmeti 556 i 58/64 </w:t>
      </w:r>
      <w:proofErr w:type="spellStart"/>
      <w:r w:rsidRPr="009737A3">
        <w:rPr>
          <w:rFonts w:eastAsia="BemboA"/>
          <w:i/>
          <w:iCs/>
          <w:sz w:val="18"/>
          <w:szCs w:val="18"/>
          <w:lang w:val="hr-HR"/>
        </w:rPr>
        <w:t>ÉtablissementsConstenSŕRLandGrundig</w:t>
      </w:r>
      <w:proofErr w:type="spellEnd"/>
      <w:r w:rsidRPr="009737A3">
        <w:rPr>
          <w:rFonts w:eastAsia="BemboA"/>
          <w:i/>
          <w:iCs/>
          <w:sz w:val="18"/>
          <w:szCs w:val="18"/>
          <w:lang w:val="hr-HR"/>
        </w:rPr>
        <w:t>-</w:t>
      </w:r>
      <w:proofErr w:type="spellStart"/>
      <w:r w:rsidRPr="009737A3">
        <w:rPr>
          <w:rFonts w:eastAsia="BemboA"/>
          <w:i/>
          <w:iCs/>
          <w:sz w:val="18"/>
          <w:szCs w:val="18"/>
          <w:lang w:val="hr-HR"/>
        </w:rPr>
        <w:t>Verkaufs</w:t>
      </w:r>
      <w:proofErr w:type="spellEnd"/>
      <w:r w:rsidRPr="009737A3">
        <w:rPr>
          <w:rFonts w:eastAsia="BemboA"/>
          <w:i/>
          <w:iCs/>
          <w:sz w:val="18"/>
          <w:szCs w:val="18"/>
          <w:lang w:val="hr-HR"/>
        </w:rPr>
        <w:t>-</w:t>
      </w:r>
      <w:proofErr w:type="spellStart"/>
      <w:r w:rsidRPr="009737A3">
        <w:rPr>
          <w:rFonts w:eastAsia="BemboA"/>
          <w:i/>
          <w:iCs/>
          <w:sz w:val="18"/>
          <w:szCs w:val="18"/>
          <w:lang w:val="hr-HR"/>
        </w:rPr>
        <w:t>GmbH</w:t>
      </w:r>
      <w:proofErr w:type="spellEnd"/>
      <w:r w:rsidRPr="009737A3">
        <w:rPr>
          <w:rFonts w:eastAsia="BemboA"/>
          <w:i/>
          <w:iCs/>
          <w:sz w:val="18"/>
          <w:szCs w:val="18"/>
          <w:lang w:val="hr-HR"/>
        </w:rPr>
        <w:t xml:space="preserve"> v. </w:t>
      </w:r>
      <w:proofErr w:type="spellStart"/>
      <w:r w:rsidRPr="009737A3">
        <w:rPr>
          <w:rFonts w:eastAsia="BemboA"/>
          <w:i/>
          <w:iCs/>
          <w:sz w:val="18"/>
          <w:szCs w:val="18"/>
          <w:lang w:val="hr-HR"/>
        </w:rPr>
        <w:t>Commission</w:t>
      </w:r>
      <w:proofErr w:type="spellEnd"/>
      <w:r w:rsidRPr="009737A3">
        <w:rPr>
          <w:rFonts w:eastAsia="BemboA"/>
          <w:sz w:val="18"/>
          <w:szCs w:val="18"/>
          <w:lang w:val="hr-HR"/>
        </w:rPr>
        <w:t xml:space="preserve">[1966] </w:t>
      </w:r>
      <w:proofErr w:type="spellStart"/>
      <w:r w:rsidRPr="009737A3">
        <w:rPr>
          <w:rFonts w:eastAsia="BemboA"/>
          <w:sz w:val="18"/>
          <w:szCs w:val="18"/>
          <w:lang w:val="hr-HR"/>
        </w:rPr>
        <w:t>ECR</w:t>
      </w:r>
      <w:proofErr w:type="spellEnd"/>
      <w:r w:rsidRPr="009737A3">
        <w:rPr>
          <w:rFonts w:eastAsia="BemboA"/>
          <w:sz w:val="18"/>
          <w:szCs w:val="18"/>
          <w:lang w:val="hr-HR"/>
        </w:rPr>
        <w:t xml:space="preserve"> 299 </w:t>
      </w:r>
    </w:p>
  </w:footnote>
  <w:footnote w:id="18">
    <w:p w:rsidR="0052549E" w:rsidRPr="009737A3" w:rsidRDefault="0052549E" w:rsidP="00BE1045">
      <w:pPr>
        <w:autoSpaceDE w:val="0"/>
        <w:autoSpaceDN w:val="0"/>
        <w:adjustRightInd w:val="0"/>
        <w:spacing w:before="0" w:after="0" w:line="240" w:lineRule="auto"/>
        <w:jc w:val="left"/>
        <w:rPr>
          <w:rFonts w:eastAsia="TimesNewRomanPSMT"/>
          <w:sz w:val="18"/>
          <w:szCs w:val="18"/>
          <w:lang w:val="hr-HR"/>
        </w:rPr>
      </w:pPr>
      <w:r w:rsidRPr="009737A3">
        <w:rPr>
          <w:rStyle w:val="Referencafusnote"/>
          <w:sz w:val="18"/>
          <w:szCs w:val="18"/>
        </w:rPr>
        <w:footnoteRef/>
      </w:r>
      <w:proofErr w:type="spellStart"/>
      <w:r w:rsidRPr="009737A3">
        <w:rPr>
          <w:rFonts w:eastAsia="TimesNewRomanPSMT"/>
          <w:sz w:val="18"/>
          <w:szCs w:val="18"/>
          <w:lang w:val="hr-HR"/>
        </w:rPr>
        <w:t>Kolstad</w:t>
      </w:r>
      <w:proofErr w:type="spellEnd"/>
      <w:r w:rsidRPr="009737A3">
        <w:rPr>
          <w:rFonts w:eastAsia="TimesNewRomanPSMT"/>
          <w:sz w:val="18"/>
          <w:szCs w:val="18"/>
          <w:lang w:val="hr-HR"/>
        </w:rPr>
        <w:t xml:space="preserve">, </w:t>
      </w:r>
      <w:r w:rsidRPr="009737A3">
        <w:rPr>
          <w:rFonts w:eastAsia="TimesNewRomanPS-ItalicMT"/>
          <w:i/>
          <w:iCs/>
          <w:sz w:val="18"/>
          <w:szCs w:val="18"/>
          <w:lang w:val="hr-HR"/>
        </w:rPr>
        <w:t>ObjectcontraeffectinSwedishandEuropeancompetitionlaw</w:t>
      </w:r>
      <w:r w:rsidRPr="009737A3">
        <w:rPr>
          <w:rFonts w:eastAsia="TimesNewRomanPSMT"/>
          <w:sz w:val="18"/>
          <w:szCs w:val="18"/>
          <w:lang w:val="hr-HR"/>
        </w:rPr>
        <w:t>(SwedishCompetitionAuthority, 2009), str. 19.</w:t>
      </w:r>
    </w:p>
  </w:footnote>
  <w:footnote w:id="19">
    <w:p w:rsidR="0052549E" w:rsidRPr="009737A3" w:rsidRDefault="0052549E" w:rsidP="00BE1045">
      <w:pPr>
        <w:autoSpaceDE w:val="0"/>
        <w:autoSpaceDN w:val="0"/>
        <w:adjustRightInd w:val="0"/>
        <w:spacing w:line="240" w:lineRule="auto"/>
        <w:jc w:val="left"/>
        <w:rPr>
          <w:i/>
          <w:iCs/>
          <w:sz w:val="18"/>
          <w:szCs w:val="18"/>
          <w:lang w:val="hr-HR"/>
        </w:rPr>
      </w:pPr>
      <w:r w:rsidRPr="009737A3">
        <w:rPr>
          <w:rStyle w:val="Referencafusnote"/>
          <w:sz w:val="18"/>
          <w:szCs w:val="18"/>
        </w:rPr>
        <w:footnoteRef/>
      </w:r>
      <w:r w:rsidRPr="009737A3">
        <w:rPr>
          <w:sz w:val="18"/>
          <w:szCs w:val="18"/>
          <w:lang w:val="hr-HR"/>
        </w:rPr>
        <w:t>Predmet C</w:t>
      </w:r>
      <w:r w:rsidRPr="009737A3">
        <w:rPr>
          <w:rFonts w:ascii="MS Mincho" w:eastAsia="MS Mincho" w:hAnsi="MS Mincho" w:cs="MS Mincho" w:hint="eastAsia"/>
          <w:sz w:val="18"/>
          <w:szCs w:val="18"/>
          <w:lang w:val="hr-HR"/>
        </w:rPr>
        <w:t>‑</w:t>
      </w:r>
      <w:r w:rsidRPr="009737A3">
        <w:rPr>
          <w:sz w:val="18"/>
          <w:szCs w:val="18"/>
          <w:lang w:val="hr-HR"/>
        </w:rPr>
        <w:t>403/08  C</w:t>
      </w:r>
      <w:r w:rsidRPr="009737A3">
        <w:rPr>
          <w:rFonts w:ascii="MS Mincho" w:eastAsia="MS Mincho" w:hAnsi="MS Mincho" w:cs="MS Mincho" w:hint="eastAsia"/>
          <w:sz w:val="18"/>
          <w:szCs w:val="18"/>
          <w:lang w:val="hr-HR"/>
        </w:rPr>
        <w:t>‑</w:t>
      </w:r>
      <w:r w:rsidRPr="009737A3">
        <w:rPr>
          <w:sz w:val="18"/>
          <w:szCs w:val="18"/>
          <w:lang w:val="hr-HR"/>
        </w:rPr>
        <w:t xml:space="preserve">429/08 </w:t>
      </w:r>
      <w:proofErr w:type="spellStart"/>
      <w:r w:rsidRPr="009737A3">
        <w:rPr>
          <w:i/>
          <w:iCs/>
          <w:sz w:val="18"/>
          <w:szCs w:val="18"/>
          <w:lang w:val="hr-HR"/>
        </w:rPr>
        <w:t>FootballAssociationPremierLeagueLtdandOthers</w:t>
      </w:r>
      <w:proofErr w:type="spellEnd"/>
      <w:r w:rsidRPr="009737A3">
        <w:rPr>
          <w:i/>
          <w:iCs/>
          <w:sz w:val="18"/>
          <w:szCs w:val="18"/>
          <w:lang w:val="hr-HR"/>
        </w:rPr>
        <w:t xml:space="preserve"> v </w:t>
      </w:r>
      <w:proofErr w:type="spellStart"/>
      <w:r w:rsidRPr="009737A3">
        <w:rPr>
          <w:i/>
          <w:iCs/>
          <w:sz w:val="18"/>
          <w:szCs w:val="18"/>
          <w:lang w:val="hr-HR"/>
        </w:rPr>
        <w:t>QCLeisureandOthersandKaren</w:t>
      </w:r>
      <w:proofErr w:type="spellEnd"/>
      <w:r w:rsidRPr="009737A3">
        <w:rPr>
          <w:i/>
          <w:iCs/>
          <w:sz w:val="18"/>
          <w:szCs w:val="18"/>
          <w:lang w:val="hr-HR"/>
        </w:rPr>
        <w:t xml:space="preserve"> Murphy v </w:t>
      </w:r>
      <w:proofErr w:type="spellStart"/>
      <w:r w:rsidRPr="009737A3">
        <w:rPr>
          <w:i/>
          <w:iCs/>
          <w:sz w:val="18"/>
          <w:szCs w:val="18"/>
          <w:lang w:val="hr-HR"/>
        </w:rPr>
        <w:t>MediaProtectionServicesLtd</w:t>
      </w:r>
      <w:proofErr w:type="spellEnd"/>
      <w:r w:rsidRPr="009737A3">
        <w:rPr>
          <w:sz w:val="18"/>
          <w:szCs w:val="18"/>
          <w:lang w:val="hr-HR"/>
        </w:rPr>
        <w:t xml:space="preserve">, presuda od  4 </w:t>
      </w:r>
      <w:proofErr w:type="spellStart"/>
      <w:r w:rsidRPr="009737A3">
        <w:rPr>
          <w:sz w:val="18"/>
          <w:szCs w:val="18"/>
          <w:lang w:val="hr-HR"/>
        </w:rPr>
        <w:t>October</w:t>
      </w:r>
      <w:proofErr w:type="spellEnd"/>
      <w:r w:rsidRPr="009737A3">
        <w:rPr>
          <w:sz w:val="18"/>
          <w:szCs w:val="18"/>
          <w:lang w:val="hr-HR"/>
        </w:rPr>
        <w:t xml:space="preserve"> 2011 (</w:t>
      </w:r>
      <w:proofErr w:type="spellStart"/>
      <w:r w:rsidRPr="009737A3">
        <w:rPr>
          <w:i/>
          <w:iCs/>
          <w:sz w:val="18"/>
          <w:szCs w:val="18"/>
          <w:lang w:val="hr-HR"/>
        </w:rPr>
        <w:t>FAPL</w:t>
      </w:r>
      <w:proofErr w:type="spellEnd"/>
      <w:r w:rsidRPr="009737A3">
        <w:rPr>
          <w:sz w:val="18"/>
          <w:szCs w:val="18"/>
          <w:lang w:val="hr-HR"/>
        </w:rPr>
        <w:t>), 135.Vidi dalje predmet C</w:t>
      </w:r>
      <w:r w:rsidRPr="009737A3">
        <w:rPr>
          <w:rFonts w:ascii="MS Mincho" w:eastAsia="MS Mincho" w:hAnsi="MS Mincho" w:cs="MS Mincho" w:hint="eastAsia"/>
          <w:sz w:val="18"/>
          <w:szCs w:val="18"/>
          <w:lang w:val="hr-HR"/>
        </w:rPr>
        <w:t>‑</w:t>
      </w:r>
      <w:r w:rsidRPr="009737A3">
        <w:rPr>
          <w:sz w:val="18"/>
          <w:szCs w:val="18"/>
          <w:lang w:val="hr-HR"/>
        </w:rPr>
        <w:t xml:space="preserve">8/08 </w:t>
      </w:r>
      <w:r w:rsidRPr="009737A3">
        <w:rPr>
          <w:i/>
          <w:iCs/>
          <w:sz w:val="18"/>
          <w:szCs w:val="18"/>
          <w:lang w:val="hr-HR"/>
        </w:rPr>
        <w:t xml:space="preserve">T-Mobile </w:t>
      </w:r>
      <w:proofErr w:type="spellStart"/>
      <w:r w:rsidRPr="009737A3">
        <w:rPr>
          <w:i/>
          <w:iCs/>
          <w:sz w:val="18"/>
          <w:szCs w:val="18"/>
          <w:lang w:val="hr-HR"/>
        </w:rPr>
        <w:t>NetherlandsandOthers</w:t>
      </w:r>
      <w:proofErr w:type="spellEnd"/>
      <w:r w:rsidRPr="009737A3">
        <w:rPr>
          <w:sz w:val="18"/>
          <w:szCs w:val="18"/>
          <w:lang w:val="hr-HR"/>
        </w:rPr>
        <w:t xml:space="preserve">[2009] </w:t>
      </w:r>
      <w:proofErr w:type="spellStart"/>
      <w:r w:rsidRPr="009737A3">
        <w:rPr>
          <w:sz w:val="18"/>
          <w:szCs w:val="18"/>
          <w:lang w:val="hr-HR"/>
        </w:rPr>
        <w:t>ECR</w:t>
      </w:r>
      <w:proofErr w:type="spellEnd"/>
      <w:r w:rsidRPr="009737A3">
        <w:rPr>
          <w:sz w:val="18"/>
          <w:szCs w:val="18"/>
          <w:lang w:val="hr-HR"/>
        </w:rPr>
        <w:t xml:space="preserve"> I</w:t>
      </w:r>
      <w:r w:rsidRPr="009737A3">
        <w:rPr>
          <w:rFonts w:ascii="MS Mincho" w:eastAsia="MS Mincho" w:hAnsi="MS Mincho" w:cs="MS Mincho" w:hint="eastAsia"/>
          <w:sz w:val="18"/>
          <w:szCs w:val="18"/>
          <w:lang w:val="hr-HR"/>
        </w:rPr>
        <w:t>‑</w:t>
      </w:r>
      <w:r w:rsidRPr="009737A3">
        <w:rPr>
          <w:sz w:val="18"/>
          <w:szCs w:val="18"/>
          <w:lang w:val="hr-HR"/>
        </w:rPr>
        <w:t xml:space="preserve">4529, 28; Spojeni </w:t>
      </w:r>
      <w:proofErr w:type="spellStart"/>
      <w:r w:rsidRPr="009737A3">
        <w:rPr>
          <w:sz w:val="18"/>
          <w:szCs w:val="18"/>
          <w:lang w:val="hr-HR"/>
        </w:rPr>
        <w:t>predmetiC</w:t>
      </w:r>
      <w:proofErr w:type="spellEnd"/>
      <w:r w:rsidRPr="009737A3">
        <w:rPr>
          <w:rFonts w:ascii="MS Mincho" w:eastAsia="MS Mincho" w:hAnsi="MS Mincho" w:cs="MS Mincho" w:hint="eastAsia"/>
          <w:sz w:val="18"/>
          <w:szCs w:val="18"/>
          <w:lang w:val="hr-HR"/>
        </w:rPr>
        <w:t>‑</w:t>
      </w:r>
      <w:r w:rsidRPr="009737A3">
        <w:rPr>
          <w:sz w:val="18"/>
          <w:szCs w:val="18"/>
          <w:lang w:val="hr-HR"/>
        </w:rPr>
        <w:t>501/06 P, C</w:t>
      </w:r>
      <w:r w:rsidRPr="009737A3">
        <w:rPr>
          <w:rFonts w:ascii="MS Mincho" w:eastAsia="MS Mincho" w:hAnsi="MS Mincho" w:cs="MS Mincho" w:hint="eastAsia"/>
          <w:sz w:val="18"/>
          <w:szCs w:val="18"/>
          <w:lang w:val="hr-HR"/>
        </w:rPr>
        <w:t>‑</w:t>
      </w:r>
      <w:r w:rsidRPr="009737A3">
        <w:rPr>
          <w:sz w:val="18"/>
          <w:szCs w:val="18"/>
          <w:lang w:val="hr-HR"/>
        </w:rPr>
        <w:t>513/06 P, C</w:t>
      </w:r>
      <w:r w:rsidRPr="009737A3">
        <w:rPr>
          <w:rFonts w:ascii="MS Mincho" w:eastAsia="MS Mincho" w:hAnsi="MS Mincho" w:cs="MS Mincho" w:hint="eastAsia"/>
          <w:sz w:val="18"/>
          <w:szCs w:val="18"/>
          <w:lang w:val="hr-HR"/>
        </w:rPr>
        <w:t>‑</w:t>
      </w:r>
      <w:r w:rsidRPr="009737A3">
        <w:rPr>
          <w:sz w:val="18"/>
          <w:szCs w:val="18"/>
          <w:lang w:val="hr-HR"/>
        </w:rPr>
        <w:t xml:space="preserve">515/06 P </w:t>
      </w:r>
      <w:proofErr w:type="spellStart"/>
      <w:r w:rsidRPr="009737A3">
        <w:rPr>
          <w:sz w:val="18"/>
          <w:szCs w:val="18"/>
          <w:lang w:val="hr-HR"/>
        </w:rPr>
        <w:t>and</w:t>
      </w:r>
      <w:proofErr w:type="spellEnd"/>
      <w:r w:rsidRPr="009737A3">
        <w:rPr>
          <w:sz w:val="18"/>
          <w:szCs w:val="18"/>
          <w:lang w:val="hr-HR"/>
        </w:rPr>
        <w:t xml:space="preserve"> C</w:t>
      </w:r>
      <w:r w:rsidRPr="009737A3">
        <w:rPr>
          <w:rFonts w:ascii="MS Mincho" w:eastAsia="MS Mincho" w:hAnsi="MS Mincho" w:cs="MS Mincho" w:hint="eastAsia"/>
          <w:sz w:val="18"/>
          <w:szCs w:val="18"/>
          <w:lang w:val="hr-HR"/>
        </w:rPr>
        <w:t>‑</w:t>
      </w:r>
      <w:r w:rsidRPr="009737A3">
        <w:rPr>
          <w:sz w:val="18"/>
          <w:szCs w:val="18"/>
          <w:lang w:val="hr-HR"/>
        </w:rPr>
        <w:t xml:space="preserve">519/06 P </w:t>
      </w:r>
      <w:r w:rsidRPr="009737A3">
        <w:rPr>
          <w:i/>
          <w:iCs/>
          <w:sz w:val="18"/>
          <w:szCs w:val="18"/>
          <w:lang w:val="hr-HR"/>
        </w:rPr>
        <w:t xml:space="preserve">GlaxoSmithKline </w:t>
      </w:r>
      <w:proofErr w:type="spellStart"/>
      <w:r w:rsidRPr="009737A3">
        <w:rPr>
          <w:i/>
          <w:iCs/>
          <w:sz w:val="18"/>
          <w:szCs w:val="18"/>
          <w:lang w:val="hr-HR"/>
        </w:rPr>
        <w:t>ServicesandOthers</w:t>
      </w:r>
      <w:proofErr w:type="spellEnd"/>
      <w:r w:rsidRPr="009737A3">
        <w:rPr>
          <w:i/>
          <w:iCs/>
          <w:sz w:val="18"/>
          <w:szCs w:val="18"/>
          <w:lang w:val="hr-HR"/>
        </w:rPr>
        <w:t xml:space="preserve"> v </w:t>
      </w:r>
      <w:proofErr w:type="spellStart"/>
      <w:r w:rsidRPr="009737A3">
        <w:rPr>
          <w:i/>
          <w:iCs/>
          <w:sz w:val="18"/>
          <w:szCs w:val="18"/>
          <w:lang w:val="hr-HR"/>
        </w:rPr>
        <w:t>CommissionandOthers</w:t>
      </w:r>
      <w:proofErr w:type="spellEnd"/>
      <w:r w:rsidRPr="009737A3">
        <w:rPr>
          <w:sz w:val="18"/>
          <w:szCs w:val="18"/>
          <w:lang w:val="hr-HR"/>
        </w:rPr>
        <w:t xml:space="preserve">[2009] </w:t>
      </w:r>
      <w:proofErr w:type="spellStart"/>
      <w:r w:rsidRPr="009737A3">
        <w:rPr>
          <w:sz w:val="18"/>
          <w:szCs w:val="18"/>
          <w:lang w:val="hr-HR"/>
        </w:rPr>
        <w:t>ECR</w:t>
      </w:r>
      <w:proofErr w:type="spellEnd"/>
      <w:r w:rsidRPr="009737A3">
        <w:rPr>
          <w:sz w:val="18"/>
          <w:szCs w:val="18"/>
          <w:lang w:val="hr-HR"/>
        </w:rPr>
        <w:t xml:space="preserve"> I</w:t>
      </w:r>
      <w:r w:rsidRPr="009737A3">
        <w:rPr>
          <w:rFonts w:ascii="MS Mincho" w:eastAsia="MS Mincho" w:hAnsi="MS Mincho" w:cs="MS Mincho" w:hint="eastAsia"/>
          <w:sz w:val="18"/>
          <w:szCs w:val="18"/>
          <w:lang w:val="hr-HR"/>
        </w:rPr>
        <w:t>‑</w:t>
      </w:r>
      <w:r w:rsidRPr="009737A3">
        <w:rPr>
          <w:sz w:val="18"/>
          <w:szCs w:val="18"/>
          <w:lang w:val="hr-HR"/>
        </w:rPr>
        <w:t>9291 (</w:t>
      </w:r>
      <w:proofErr w:type="spellStart"/>
      <w:r w:rsidRPr="009737A3">
        <w:rPr>
          <w:i/>
          <w:iCs/>
          <w:sz w:val="18"/>
          <w:szCs w:val="18"/>
          <w:lang w:val="hr-HR"/>
        </w:rPr>
        <w:t>GSK</w:t>
      </w:r>
      <w:proofErr w:type="spellEnd"/>
      <w:r w:rsidRPr="009737A3">
        <w:rPr>
          <w:i/>
          <w:iCs/>
          <w:sz w:val="18"/>
          <w:szCs w:val="18"/>
          <w:lang w:val="hr-HR"/>
        </w:rPr>
        <w:t xml:space="preserve"> (</w:t>
      </w:r>
      <w:proofErr w:type="spellStart"/>
      <w:r w:rsidRPr="009737A3">
        <w:rPr>
          <w:i/>
          <w:iCs/>
          <w:sz w:val="18"/>
          <w:szCs w:val="18"/>
          <w:lang w:val="hr-HR"/>
        </w:rPr>
        <w:t>CJ</w:t>
      </w:r>
      <w:proofErr w:type="spellEnd"/>
      <w:r w:rsidRPr="009737A3">
        <w:rPr>
          <w:i/>
          <w:iCs/>
          <w:sz w:val="18"/>
          <w:szCs w:val="18"/>
          <w:lang w:val="hr-HR"/>
        </w:rPr>
        <w:t>)</w:t>
      </w:r>
      <w:r w:rsidRPr="009737A3">
        <w:rPr>
          <w:sz w:val="18"/>
          <w:szCs w:val="18"/>
          <w:lang w:val="hr-HR"/>
        </w:rPr>
        <w:t>), 55.</w:t>
      </w:r>
    </w:p>
  </w:footnote>
  <w:footnote w:id="20">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lang w:val="hr-HR"/>
        </w:rPr>
        <w:t xml:space="preserve">Vidi Predmet 56/65, </w:t>
      </w:r>
      <w:proofErr w:type="spellStart"/>
      <w:r w:rsidRPr="009737A3">
        <w:rPr>
          <w:sz w:val="18"/>
          <w:szCs w:val="18"/>
          <w:lang w:val="hr-HR"/>
        </w:rPr>
        <w:t>SociétéTechniqueMinière</w:t>
      </w:r>
      <w:proofErr w:type="spellEnd"/>
      <w:r w:rsidRPr="009737A3">
        <w:rPr>
          <w:sz w:val="18"/>
          <w:szCs w:val="18"/>
          <w:lang w:val="hr-HR"/>
        </w:rPr>
        <w:t xml:space="preserve">, [1966] </w:t>
      </w:r>
      <w:proofErr w:type="spellStart"/>
      <w:r w:rsidRPr="009737A3">
        <w:rPr>
          <w:sz w:val="18"/>
          <w:szCs w:val="18"/>
          <w:lang w:val="hr-HR"/>
        </w:rPr>
        <w:t>ECR</w:t>
      </w:r>
      <w:proofErr w:type="spellEnd"/>
      <w:r w:rsidRPr="009737A3">
        <w:rPr>
          <w:sz w:val="18"/>
          <w:szCs w:val="18"/>
          <w:lang w:val="hr-HR"/>
        </w:rPr>
        <w:t xml:space="preserve"> 337, Predmet C-7/95 P, </w:t>
      </w:r>
      <w:proofErr w:type="spellStart"/>
      <w:r w:rsidRPr="009737A3">
        <w:rPr>
          <w:sz w:val="18"/>
          <w:szCs w:val="18"/>
          <w:lang w:val="hr-HR"/>
        </w:rPr>
        <w:t>John</w:t>
      </w:r>
      <w:proofErr w:type="spellEnd"/>
      <w:r w:rsidRPr="009737A3">
        <w:rPr>
          <w:sz w:val="18"/>
          <w:szCs w:val="18"/>
          <w:lang w:val="hr-HR"/>
        </w:rPr>
        <w:t xml:space="preserve"> Deere, (1998] </w:t>
      </w:r>
      <w:proofErr w:type="spellStart"/>
      <w:r w:rsidRPr="009737A3">
        <w:rPr>
          <w:sz w:val="18"/>
          <w:szCs w:val="18"/>
          <w:lang w:val="hr-HR"/>
        </w:rPr>
        <w:t>ECR</w:t>
      </w:r>
      <w:proofErr w:type="spellEnd"/>
      <w:r w:rsidRPr="009737A3">
        <w:rPr>
          <w:sz w:val="18"/>
          <w:szCs w:val="18"/>
          <w:lang w:val="hr-HR"/>
        </w:rPr>
        <w:t xml:space="preserve"> I-3111 stavak 76. </w:t>
      </w:r>
    </w:p>
  </w:footnote>
  <w:footnote w:id="21">
    <w:p w:rsidR="0052549E" w:rsidRPr="009737A3" w:rsidRDefault="0052549E" w:rsidP="00BE1045">
      <w:pPr>
        <w:spacing w:line="240" w:lineRule="auto"/>
        <w:jc w:val="left"/>
        <w:rPr>
          <w:sz w:val="18"/>
          <w:szCs w:val="18"/>
          <w:lang w:val="hr-HR"/>
        </w:rPr>
      </w:pPr>
      <w:r w:rsidRPr="009737A3">
        <w:rPr>
          <w:rStyle w:val="Referencafusnote"/>
          <w:sz w:val="18"/>
          <w:szCs w:val="18"/>
        </w:rPr>
        <w:footnoteRef/>
      </w:r>
      <w:proofErr w:type="spellStart"/>
      <w:r w:rsidRPr="009737A3">
        <w:rPr>
          <w:sz w:val="18"/>
          <w:szCs w:val="18"/>
        </w:rPr>
        <w:t>Gottrup</w:t>
      </w:r>
      <w:proofErr w:type="spellEnd"/>
      <w:r w:rsidRPr="009737A3">
        <w:rPr>
          <w:sz w:val="18"/>
          <w:szCs w:val="18"/>
        </w:rPr>
        <w:t>-Kim p31 C-399/93</w:t>
      </w:r>
      <w:r w:rsidRPr="009737A3">
        <w:rPr>
          <w:i/>
          <w:iCs/>
          <w:sz w:val="18"/>
          <w:szCs w:val="18"/>
        </w:rPr>
        <w:t xml:space="preserve"> Oude </w:t>
      </w:r>
      <w:proofErr w:type="spellStart"/>
      <w:r w:rsidRPr="009737A3">
        <w:rPr>
          <w:i/>
          <w:iCs/>
          <w:sz w:val="18"/>
          <w:szCs w:val="18"/>
        </w:rPr>
        <w:t>Luttikhuis</w:t>
      </w:r>
      <w:proofErr w:type="spellEnd"/>
      <w:r w:rsidRPr="009737A3">
        <w:rPr>
          <w:i/>
          <w:iCs/>
          <w:sz w:val="18"/>
          <w:szCs w:val="18"/>
        </w:rPr>
        <w:t xml:space="preserve"> and Others</w:t>
      </w:r>
      <w:r w:rsidRPr="009737A3">
        <w:rPr>
          <w:sz w:val="18"/>
          <w:szCs w:val="18"/>
        </w:rPr>
        <w:t xml:space="preserve"> v </w:t>
      </w:r>
      <w:proofErr w:type="spellStart"/>
      <w:r w:rsidRPr="009737A3">
        <w:rPr>
          <w:i/>
          <w:iCs/>
          <w:sz w:val="18"/>
          <w:szCs w:val="18"/>
        </w:rPr>
        <w:t>VerenigdeCoöperatieveMelkindustrie</w:t>
      </w:r>
      <w:proofErr w:type="spellEnd"/>
      <w:r w:rsidRPr="009737A3">
        <w:rPr>
          <w:sz w:val="18"/>
          <w:szCs w:val="18"/>
        </w:rPr>
        <w:t xml:space="preserve"> [1995] </w:t>
      </w:r>
      <w:proofErr w:type="spellStart"/>
      <w:r w:rsidRPr="009737A3">
        <w:rPr>
          <w:sz w:val="18"/>
          <w:szCs w:val="18"/>
        </w:rPr>
        <w:t>ECR</w:t>
      </w:r>
      <w:proofErr w:type="spellEnd"/>
      <w:r w:rsidRPr="009737A3">
        <w:rPr>
          <w:sz w:val="18"/>
          <w:szCs w:val="18"/>
        </w:rPr>
        <w:t xml:space="preserve"> I-4515, paragraph 10, and Case T-77/94 </w:t>
      </w:r>
      <w:proofErr w:type="spellStart"/>
      <w:r w:rsidRPr="009737A3">
        <w:rPr>
          <w:i/>
          <w:iCs/>
          <w:sz w:val="18"/>
          <w:szCs w:val="18"/>
        </w:rPr>
        <w:t>VGB</w:t>
      </w:r>
      <w:proofErr w:type="spellEnd"/>
      <w:r w:rsidRPr="009737A3">
        <w:rPr>
          <w:i/>
          <w:iCs/>
          <w:sz w:val="18"/>
          <w:szCs w:val="18"/>
        </w:rPr>
        <w:t xml:space="preserve"> and Others</w:t>
      </w:r>
      <w:r w:rsidRPr="009737A3">
        <w:rPr>
          <w:sz w:val="18"/>
          <w:szCs w:val="18"/>
        </w:rPr>
        <w:t xml:space="preserve"> v </w:t>
      </w:r>
      <w:r w:rsidRPr="009737A3">
        <w:rPr>
          <w:i/>
          <w:iCs/>
          <w:sz w:val="18"/>
          <w:szCs w:val="18"/>
        </w:rPr>
        <w:t>Commission</w:t>
      </w:r>
      <w:r w:rsidRPr="009737A3">
        <w:rPr>
          <w:sz w:val="18"/>
          <w:szCs w:val="18"/>
        </w:rPr>
        <w:t xml:space="preserve"> [1997] </w:t>
      </w:r>
      <w:proofErr w:type="spellStart"/>
      <w:r w:rsidRPr="009737A3">
        <w:rPr>
          <w:sz w:val="18"/>
          <w:szCs w:val="18"/>
        </w:rPr>
        <w:t>ECR</w:t>
      </w:r>
      <w:proofErr w:type="spellEnd"/>
      <w:r w:rsidRPr="009737A3">
        <w:rPr>
          <w:sz w:val="18"/>
          <w:szCs w:val="18"/>
        </w:rPr>
        <w:t xml:space="preserve"> II-759, paragraph 140, </w:t>
      </w:r>
      <w:r w:rsidRPr="009737A3">
        <w:rPr>
          <w:rStyle w:val="affairetitle"/>
          <w:sz w:val="18"/>
          <w:szCs w:val="18"/>
        </w:rPr>
        <w:t>T-374/94 - European Night Services and Others v Commission (</w:t>
      </w:r>
      <w:r w:rsidRPr="009737A3">
        <w:rPr>
          <w:sz w:val="18"/>
          <w:szCs w:val="18"/>
        </w:rPr>
        <w:t>1998) II-03141 135</w:t>
      </w:r>
    </w:p>
    <w:p w:rsidR="0052549E" w:rsidRPr="009737A3" w:rsidRDefault="0052549E" w:rsidP="00BE1045">
      <w:pPr>
        <w:pStyle w:val="Tekstfusnote"/>
        <w:spacing w:before="0" w:after="0"/>
        <w:jc w:val="left"/>
        <w:rPr>
          <w:sz w:val="18"/>
          <w:szCs w:val="18"/>
          <w:lang w:val="hr-HR"/>
        </w:rPr>
      </w:pPr>
    </w:p>
  </w:footnote>
  <w:footnote w:id="22">
    <w:p w:rsidR="0052549E" w:rsidRPr="009737A3" w:rsidRDefault="0052549E" w:rsidP="00BE1045">
      <w:pPr>
        <w:pStyle w:val="Tekstfusnote"/>
        <w:spacing w:before="0" w:after="0"/>
        <w:jc w:val="left"/>
        <w:rPr>
          <w:sz w:val="18"/>
          <w:szCs w:val="18"/>
          <w:lang w:val="hr-HR"/>
        </w:rPr>
      </w:pPr>
      <w:r w:rsidRPr="009737A3">
        <w:rPr>
          <w:rStyle w:val="Referencafusnote"/>
          <w:sz w:val="18"/>
          <w:szCs w:val="18"/>
        </w:rPr>
        <w:footnoteRef/>
      </w:r>
      <w:r w:rsidRPr="009737A3">
        <w:rPr>
          <w:sz w:val="18"/>
          <w:szCs w:val="18"/>
          <w:lang w:val="hr-HR"/>
        </w:rPr>
        <w:t xml:space="preserve">Predmet T-44/00 </w:t>
      </w:r>
      <w:proofErr w:type="spellStart"/>
      <w:r w:rsidRPr="009737A3">
        <w:rPr>
          <w:sz w:val="18"/>
          <w:szCs w:val="18"/>
        </w:rPr>
        <w:t>Mannesmannröhren-Werke</w:t>
      </w:r>
      <w:proofErr w:type="spellEnd"/>
      <w:r w:rsidRPr="009737A3">
        <w:rPr>
          <w:sz w:val="18"/>
          <w:szCs w:val="18"/>
        </w:rPr>
        <w:t xml:space="preserve"> AG </w:t>
      </w:r>
      <w:proofErr w:type="spellStart"/>
      <w:r w:rsidRPr="009737A3">
        <w:rPr>
          <w:sz w:val="18"/>
          <w:szCs w:val="18"/>
        </w:rPr>
        <w:t>protivKomisijeEuropskihzajednica</w:t>
      </w:r>
      <w:proofErr w:type="spellEnd"/>
      <w:r w:rsidRPr="009737A3">
        <w:rPr>
          <w:sz w:val="18"/>
          <w:szCs w:val="18"/>
        </w:rPr>
        <w:t xml:space="preserve"> [2004] II-02223 §132</w:t>
      </w:r>
    </w:p>
  </w:footnote>
  <w:footnote w:id="23">
    <w:p w:rsidR="0052549E" w:rsidRPr="009737A3" w:rsidRDefault="0052549E" w:rsidP="00BE1045">
      <w:pPr>
        <w:pStyle w:val="c02alineaalta"/>
        <w:rPr>
          <w:sz w:val="18"/>
          <w:szCs w:val="18"/>
        </w:rPr>
      </w:pPr>
      <w:r w:rsidRPr="009737A3">
        <w:rPr>
          <w:rStyle w:val="Referencafusnote"/>
          <w:sz w:val="18"/>
          <w:szCs w:val="18"/>
        </w:rPr>
        <w:footnoteRef/>
      </w:r>
      <w:r w:rsidRPr="009737A3">
        <w:rPr>
          <w:bCs/>
          <w:sz w:val="18"/>
          <w:szCs w:val="18"/>
        </w:rPr>
        <w:t xml:space="preserve">Spojeni predmeti </w:t>
      </w:r>
      <w:proofErr w:type="spellStart"/>
      <w:r w:rsidRPr="009737A3">
        <w:rPr>
          <w:bCs/>
          <w:i/>
          <w:sz w:val="18"/>
          <w:szCs w:val="18"/>
        </w:rPr>
        <w:t>Asociación</w:t>
      </w:r>
      <w:proofErr w:type="spellEnd"/>
      <w:r w:rsidRPr="009737A3">
        <w:rPr>
          <w:bCs/>
          <w:i/>
          <w:sz w:val="18"/>
          <w:szCs w:val="18"/>
        </w:rPr>
        <w:t xml:space="preserve"> Nacional de </w:t>
      </w:r>
      <w:proofErr w:type="spellStart"/>
      <w:r w:rsidRPr="009737A3">
        <w:rPr>
          <w:bCs/>
          <w:i/>
          <w:sz w:val="18"/>
          <w:szCs w:val="18"/>
        </w:rPr>
        <w:t>EstablecimientosFinancieros</w:t>
      </w:r>
      <w:proofErr w:type="spellEnd"/>
      <w:r w:rsidRPr="009737A3">
        <w:rPr>
          <w:bCs/>
          <w:i/>
          <w:sz w:val="18"/>
          <w:szCs w:val="18"/>
        </w:rPr>
        <w:t xml:space="preserve"> de </w:t>
      </w:r>
      <w:proofErr w:type="spellStart"/>
      <w:r w:rsidRPr="009737A3">
        <w:rPr>
          <w:bCs/>
          <w:i/>
          <w:sz w:val="18"/>
          <w:szCs w:val="18"/>
        </w:rPr>
        <w:t>Crédito</w:t>
      </w:r>
      <w:proofErr w:type="spellEnd"/>
      <w:r w:rsidRPr="009737A3">
        <w:rPr>
          <w:bCs/>
          <w:sz w:val="18"/>
          <w:szCs w:val="18"/>
        </w:rPr>
        <w:t xml:space="preserve"> (</w:t>
      </w:r>
      <w:proofErr w:type="spellStart"/>
      <w:r w:rsidRPr="009737A3">
        <w:rPr>
          <w:bCs/>
          <w:sz w:val="18"/>
          <w:szCs w:val="18"/>
        </w:rPr>
        <w:t>ASNEF</w:t>
      </w:r>
      <w:proofErr w:type="spellEnd"/>
      <w:r w:rsidRPr="009737A3">
        <w:rPr>
          <w:bCs/>
          <w:sz w:val="18"/>
          <w:szCs w:val="18"/>
        </w:rPr>
        <w:t>)</w:t>
      </w:r>
      <w:r w:rsidRPr="009737A3">
        <w:rPr>
          <w:sz w:val="18"/>
          <w:szCs w:val="18"/>
        </w:rPr>
        <w:t xml:space="preserve"> (C</w:t>
      </w:r>
      <w:r w:rsidRPr="009737A3">
        <w:rPr>
          <w:sz w:val="18"/>
          <w:szCs w:val="18"/>
        </w:rPr>
        <w:noBreakHyphen/>
        <w:t>468/10),</w:t>
      </w:r>
      <w:proofErr w:type="spellStart"/>
      <w:r w:rsidRPr="009737A3">
        <w:rPr>
          <w:bCs/>
          <w:i/>
          <w:sz w:val="18"/>
          <w:szCs w:val="18"/>
        </w:rPr>
        <w:t>Federación</w:t>
      </w:r>
      <w:proofErr w:type="spellEnd"/>
      <w:r w:rsidRPr="009737A3">
        <w:rPr>
          <w:bCs/>
          <w:i/>
          <w:sz w:val="18"/>
          <w:szCs w:val="18"/>
        </w:rPr>
        <w:t xml:space="preserve"> de </w:t>
      </w:r>
      <w:proofErr w:type="spellStart"/>
      <w:r w:rsidRPr="009737A3">
        <w:rPr>
          <w:bCs/>
          <w:i/>
          <w:sz w:val="18"/>
          <w:szCs w:val="18"/>
        </w:rPr>
        <w:t>ComercioElectrónico</w:t>
      </w:r>
      <w:proofErr w:type="spellEnd"/>
      <w:r w:rsidRPr="009737A3">
        <w:rPr>
          <w:bCs/>
          <w:i/>
          <w:sz w:val="18"/>
          <w:szCs w:val="18"/>
        </w:rPr>
        <w:t xml:space="preserve"> y Marketing </w:t>
      </w:r>
      <w:proofErr w:type="spellStart"/>
      <w:r w:rsidRPr="009737A3">
        <w:rPr>
          <w:bCs/>
          <w:i/>
          <w:sz w:val="18"/>
          <w:szCs w:val="18"/>
        </w:rPr>
        <w:t>Directo</w:t>
      </w:r>
      <w:proofErr w:type="spellEnd"/>
      <w:r w:rsidRPr="009737A3">
        <w:rPr>
          <w:bCs/>
          <w:sz w:val="18"/>
          <w:szCs w:val="18"/>
        </w:rPr>
        <w:t>(</w:t>
      </w:r>
      <w:proofErr w:type="spellStart"/>
      <w:r w:rsidRPr="009737A3">
        <w:rPr>
          <w:bCs/>
          <w:sz w:val="18"/>
          <w:szCs w:val="18"/>
        </w:rPr>
        <w:t>FECEMD</w:t>
      </w:r>
      <w:proofErr w:type="spellEnd"/>
      <w:r w:rsidRPr="009737A3">
        <w:rPr>
          <w:bCs/>
          <w:sz w:val="18"/>
          <w:szCs w:val="18"/>
        </w:rPr>
        <w:t xml:space="preserve">) </w:t>
      </w:r>
      <w:r w:rsidRPr="009737A3">
        <w:rPr>
          <w:sz w:val="18"/>
          <w:szCs w:val="18"/>
        </w:rPr>
        <w:t>(C</w:t>
      </w:r>
      <w:r w:rsidRPr="009737A3">
        <w:rPr>
          <w:sz w:val="18"/>
          <w:szCs w:val="18"/>
        </w:rPr>
        <w:noBreakHyphen/>
        <w:t xml:space="preserve">469/10) v </w:t>
      </w:r>
      <w:proofErr w:type="spellStart"/>
      <w:r w:rsidRPr="009737A3">
        <w:rPr>
          <w:bCs/>
          <w:i/>
          <w:sz w:val="18"/>
          <w:szCs w:val="18"/>
        </w:rPr>
        <w:t>AdministracióndelEstado</w:t>
      </w:r>
      <w:proofErr w:type="spellEnd"/>
      <w:r w:rsidRPr="009737A3">
        <w:rPr>
          <w:bCs/>
          <w:sz w:val="18"/>
          <w:szCs w:val="18"/>
        </w:rPr>
        <w:t xml:space="preserve">, (2011) </w:t>
      </w:r>
      <w:proofErr w:type="spellStart"/>
      <w:r w:rsidRPr="009737A3">
        <w:rPr>
          <w:sz w:val="18"/>
          <w:szCs w:val="18"/>
        </w:rPr>
        <w:t>ECR</w:t>
      </w:r>
      <w:proofErr w:type="spellEnd"/>
      <w:r w:rsidRPr="009737A3">
        <w:rPr>
          <w:sz w:val="18"/>
          <w:szCs w:val="18"/>
        </w:rPr>
        <w:t xml:space="preserve"> I-12181</w:t>
      </w:r>
    </w:p>
    <w:p w:rsidR="0052549E" w:rsidRPr="009737A3" w:rsidRDefault="0052549E" w:rsidP="00BE1045">
      <w:pPr>
        <w:pStyle w:val="Tekstfusnote"/>
        <w:jc w:val="left"/>
        <w:rPr>
          <w:sz w:val="18"/>
          <w:szCs w:val="18"/>
          <w:lang w:val="hr-HR"/>
        </w:rPr>
      </w:pPr>
    </w:p>
  </w:footnote>
  <w:footnote w:id="24">
    <w:p w:rsidR="0052549E" w:rsidRPr="009737A3" w:rsidRDefault="0052549E" w:rsidP="00BE1045">
      <w:pPr>
        <w:autoSpaceDE w:val="0"/>
        <w:autoSpaceDN w:val="0"/>
        <w:adjustRightInd w:val="0"/>
        <w:spacing w:before="0" w:after="0" w:line="240" w:lineRule="auto"/>
        <w:jc w:val="left"/>
        <w:rPr>
          <w:sz w:val="18"/>
          <w:szCs w:val="18"/>
          <w:lang w:val="hr-HR"/>
        </w:rPr>
      </w:pPr>
      <w:r w:rsidRPr="009737A3">
        <w:rPr>
          <w:rStyle w:val="Referencafusnote"/>
          <w:sz w:val="18"/>
          <w:szCs w:val="18"/>
        </w:rPr>
        <w:footnoteRef/>
      </w:r>
      <w:proofErr w:type="spellStart"/>
      <w:r w:rsidRPr="009737A3">
        <w:rPr>
          <w:sz w:val="18"/>
          <w:szCs w:val="18"/>
          <w:lang w:val="hr-HR"/>
        </w:rPr>
        <w:t>Case</w:t>
      </w:r>
      <w:proofErr w:type="spellEnd"/>
      <w:r w:rsidRPr="009737A3">
        <w:rPr>
          <w:sz w:val="18"/>
          <w:szCs w:val="18"/>
          <w:lang w:val="hr-HR"/>
        </w:rPr>
        <w:t xml:space="preserve"> C-209/07 </w:t>
      </w:r>
      <w:proofErr w:type="spellStart"/>
      <w:r w:rsidRPr="009737A3">
        <w:rPr>
          <w:i/>
          <w:iCs/>
          <w:sz w:val="18"/>
          <w:szCs w:val="18"/>
          <w:lang w:val="hr-HR"/>
        </w:rPr>
        <w:t>CompetitionAuthority</w:t>
      </w:r>
      <w:proofErr w:type="spellEnd"/>
      <w:r w:rsidRPr="009737A3">
        <w:rPr>
          <w:i/>
          <w:iCs/>
          <w:sz w:val="18"/>
          <w:szCs w:val="18"/>
          <w:lang w:val="hr-HR"/>
        </w:rPr>
        <w:t xml:space="preserve"> v </w:t>
      </w:r>
      <w:proofErr w:type="spellStart"/>
      <w:r w:rsidRPr="009737A3">
        <w:rPr>
          <w:i/>
          <w:iCs/>
          <w:sz w:val="18"/>
          <w:szCs w:val="18"/>
          <w:lang w:val="hr-HR"/>
        </w:rPr>
        <w:t>BeefIndustryDevelopmentSocietyLtd</w:t>
      </w:r>
      <w:proofErr w:type="spellEnd"/>
      <w:r w:rsidRPr="009737A3">
        <w:rPr>
          <w:i/>
          <w:iCs/>
          <w:sz w:val="18"/>
          <w:szCs w:val="18"/>
          <w:lang w:val="hr-HR"/>
        </w:rPr>
        <w:t xml:space="preserve"> (</w:t>
      </w:r>
      <w:proofErr w:type="spellStart"/>
      <w:r w:rsidRPr="009737A3">
        <w:rPr>
          <w:i/>
          <w:iCs/>
          <w:sz w:val="18"/>
          <w:szCs w:val="18"/>
          <w:lang w:val="hr-HR"/>
        </w:rPr>
        <w:t>BIDS</w:t>
      </w:r>
      <w:proofErr w:type="spellEnd"/>
      <w:r w:rsidRPr="009737A3">
        <w:rPr>
          <w:i/>
          <w:iCs/>
          <w:sz w:val="18"/>
          <w:szCs w:val="18"/>
          <w:lang w:val="hr-HR"/>
        </w:rPr>
        <w:t xml:space="preserve">) </w:t>
      </w:r>
      <w:r w:rsidRPr="009737A3">
        <w:rPr>
          <w:sz w:val="18"/>
          <w:szCs w:val="18"/>
          <w:lang w:val="hr-HR"/>
        </w:rPr>
        <w:t xml:space="preserve">[2008] </w:t>
      </w:r>
      <w:proofErr w:type="spellStart"/>
      <w:r w:rsidRPr="009737A3">
        <w:rPr>
          <w:sz w:val="18"/>
          <w:szCs w:val="18"/>
          <w:lang w:val="hr-HR"/>
        </w:rPr>
        <w:t>ECR</w:t>
      </w:r>
      <w:proofErr w:type="spellEnd"/>
      <w:r w:rsidRPr="009737A3">
        <w:rPr>
          <w:sz w:val="18"/>
          <w:szCs w:val="18"/>
          <w:lang w:val="hr-HR"/>
        </w:rPr>
        <w:t xml:space="preserve"> I-8637, 17</w:t>
      </w:r>
    </w:p>
  </w:footnote>
  <w:footnote w:id="25">
    <w:p w:rsidR="0052549E" w:rsidRPr="009737A3" w:rsidRDefault="0052549E" w:rsidP="00BE1045">
      <w:pPr>
        <w:pStyle w:val="Tekstfusnote"/>
        <w:jc w:val="left"/>
        <w:rPr>
          <w:b/>
          <w:sz w:val="18"/>
          <w:szCs w:val="18"/>
          <w:lang w:val="hr-HR"/>
        </w:rPr>
      </w:pPr>
      <w:r w:rsidRPr="009737A3">
        <w:rPr>
          <w:rStyle w:val="Referencafusnote"/>
          <w:sz w:val="18"/>
          <w:szCs w:val="18"/>
        </w:rPr>
        <w:footnoteRef/>
      </w:r>
      <w:r w:rsidRPr="009737A3">
        <w:rPr>
          <w:sz w:val="18"/>
          <w:szCs w:val="18"/>
          <w:lang w:val="hr-HR"/>
        </w:rPr>
        <w:t xml:space="preserve">R </w:t>
      </w:r>
      <w:proofErr w:type="spellStart"/>
      <w:r w:rsidRPr="009737A3">
        <w:rPr>
          <w:sz w:val="18"/>
          <w:szCs w:val="18"/>
          <w:lang w:val="hr-HR"/>
        </w:rPr>
        <w:t>Whish</w:t>
      </w:r>
      <w:proofErr w:type="spellEnd"/>
      <w:r w:rsidRPr="009737A3">
        <w:rPr>
          <w:sz w:val="18"/>
          <w:szCs w:val="18"/>
          <w:lang w:val="hr-HR"/>
        </w:rPr>
        <w:t xml:space="preserve">, D. </w:t>
      </w:r>
      <w:proofErr w:type="spellStart"/>
      <w:r w:rsidRPr="009737A3">
        <w:rPr>
          <w:sz w:val="18"/>
          <w:szCs w:val="18"/>
          <w:lang w:val="hr-HR"/>
        </w:rPr>
        <w:t>Bailey</w:t>
      </w:r>
      <w:proofErr w:type="spellEnd"/>
      <w:r w:rsidRPr="009737A3">
        <w:rPr>
          <w:sz w:val="18"/>
          <w:szCs w:val="18"/>
          <w:lang w:val="hr-HR"/>
        </w:rPr>
        <w:t xml:space="preserve">, </w:t>
      </w:r>
      <w:proofErr w:type="spellStart"/>
      <w:r w:rsidRPr="009737A3">
        <w:rPr>
          <w:i/>
          <w:iCs/>
          <w:sz w:val="18"/>
          <w:szCs w:val="18"/>
          <w:lang w:val="hr-HR"/>
        </w:rPr>
        <w:t>CompetitionLaw</w:t>
      </w:r>
      <w:proofErr w:type="spellEnd"/>
      <w:r w:rsidRPr="009737A3">
        <w:rPr>
          <w:sz w:val="18"/>
          <w:szCs w:val="18"/>
          <w:lang w:val="hr-HR"/>
        </w:rPr>
        <w:t>(</w:t>
      </w:r>
      <w:proofErr w:type="spellStart"/>
      <w:r w:rsidRPr="009737A3">
        <w:rPr>
          <w:sz w:val="18"/>
          <w:szCs w:val="18"/>
          <w:lang w:val="hr-HR"/>
        </w:rPr>
        <w:t>OxfordUniversityPress</w:t>
      </w:r>
      <w:proofErr w:type="spellEnd"/>
      <w:r w:rsidRPr="009737A3">
        <w:rPr>
          <w:sz w:val="18"/>
          <w:szCs w:val="18"/>
          <w:lang w:val="hr-HR"/>
        </w:rPr>
        <w:t xml:space="preserve">, 7th </w:t>
      </w:r>
      <w:proofErr w:type="spellStart"/>
      <w:r w:rsidRPr="009737A3">
        <w:rPr>
          <w:sz w:val="18"/>
          <w:szCs w:val="18"/>
          <w:lang w:val="hr-HR"/>
        </w:rPr>
        <w:t>edn</w:t>
      </w:r>
      <w:proofErr w:type="spellEnd"/>
      <w:r w:rsidRPr="009737A3">
        <w:rPr>
          <w:sz w:val="18"/>
          <w:szCs w:val="18"/>
          <w:lang w:val="hr-HR"/>
        </w:rPr>
        <w:t>, 2011), 118</w:t>
      </w:r>
    </w:p>
  </w:footnote>
  <w:footnote w:id="26">
    <w:p w:rsidR="0052549E" w:rsidRPr="009737A3" w:rsidRDefault="0052549E" w:rsidP="00BE1045">
      <w:pPr>
        <w:pStyle w:val="Tekstfusnote"/>
        <w:jc w:val="left"/>
        <w:rPr>
          <w:sz w:val="18"/>
          <w:szCs w:val="18"/>
          <w:lang w:val="hr-HR"/>
        </w:rPr>
      </w:pPr>
      <w:r w:rsidRPr="009737A3">
        <w:rPr>
          <w:rStyle w:val="Referencafusnote"/>
          <w:sz w:val="18"/>
          <w:szCs w:val="18"/>
        </w:rPr>
        <w:footnoteRef/>
      </w:r>
      <w:hyperlink r:id="rId5" w:tgtFrame="_blank" w:history="1">
        <w:proofErr w:type="spellStart"/>
        <w:r w:rsidRPr="009737A3">
          <w:rPr>
            <w:rStyle w:val="Hiperveza"/>
            <w:rFonts w:eastAsiaTheme="majorEastAsia"/>
            <w:color w:val="auto"/>
            <w:sz w:val="18"/>
            <w:szCs w:val="18"/>
            <w:u w:val="none"/>
            <w:lang w:val="hr-HR"/>
          </w:rPr>
          <w:t>Prijopćenje</w:t>
        </w:r>
        <w:proofErr w:type="spellEnd"/>
        <w:r w:rsidRPr="009737A3">
          <w:rPr>
            <w:rStyle w:val="Hiperveza"/>
            <w:rFonts w:eastAsiaTheme="majorEastAsia"/>
            <w:color w:val="auto"/>
            <w:sz w:val="18"/>
            <w:szCs w:val="18"/>
            <w:u w:val="none"/>
            <w:lang w:val="hr-HR"/>
          </w:rPr>
          <w:t xml:space="preserve"> Komisije - Obavijest - Smjernice za primjenu članka 81. stavka 3. Ugovora</w:t>
        </w:r>
      </w:hyperlink>
      <w:r w:rsidRPr="009737A3">
        <w:rPr>
          <w:sz w:val="18"/>
          <w:szCs w:val="18"/>
          <w:lang w:val="hr-HR"/>
        </w:rPr>
        <w:br/>
        <w:t>Službeni list C 101, 27/04/2004 str, 97</w:t>
      </w:r>
    </w:p>
  </w:footnote>
  <w:footnote w:id="27">
    <w:p w:rsidR="0052549E" w:rsidRPr="009737A3" w:rsidRDefault="0052549E" w:rsidP="00BE1045">
      <w:pPr>
        <w:pStyle w:val="Tekstfusnote"/>
        <w:jc w:val="left"/>
        <w:rPr>
          <w:sz w:val="18"/>
          <w:szCs w:val="18"/>
          <w:lang w:val="hr-HR"/>
        </w:rPr>
      </w:pPr>
      <w:r w:rsidRPr="009737A3">
        <w:rPr>
          <w:rStyle w:val="Referencafusnote"/>
          <w:sz w:val="18"/>
          <w:szCs w:val="18"/>
        </w:rPr>
        <w:footnoteRef/>
      </w:r>
      <w:proofErr w:type="spellStart"/>
      <w:r w:rsidRPr="009737A3">
        <w:rPr>
          <w:sz w:val="18"/>
          <w:szCs w:val="18"/>
          <w:lang w:val="hr-HR"/>
        </w:rPr>
        <w:t>Ibid</w:t>
      </w:r>
      <w:proofErr w:type="spellEnd"/>
      <w:r w:rsidRPr="009737A3">
        <w:rPr>
          <w:sz w:val="18"/>
          <w:szCs w:val="18"/>
          <w:lang w:val="hr-HR"/>
        </w:rPr>
        <w:t xml:space="preserve"> §21</w:t>
      </w:r>
    </w:p>
  </w:footnote>
  <w:footnote w:id="28">
    <w:p w:rsidR="0052549E" w:rsidRPr="009737A3" w:rsidRDefault="0052549E" w:rsidP="00BE1045">
      <w:pPr>
        <w:spacing w:before="0" w:after="0" w:line="240" w:lineRule="auto"/>
        <w:jc w:val="left"/>
        <w:rPr>
          <w:sz w:val="18"/>
          <w:szCs w:val="18"/>
        </w:rPr>
      </w:pPr>
      <w:r w:rsidRPr="009737A3">
        <w:rPr>
          <w:rStyle w:val="Referencafusnote"/>
          <w:sz w:val="18"/>
          <w:szCs w:val="18"/>
        </w:rPr>
        <w:footnoteRef/>
      </w:r>
      <w:r w:rsidRPr="009737A3">
        <w:rPr>
          <w:sz w:val="18"/>
          <w:szCs w:val="18"/>
          <w:lang w:val="hr-HR"/>
        </w:rPr>
        <w:t xml:space="preserve">Slično i </w:t>
      </w:r>
      <w:r w:rsidRPr="009737A3">
        <w:rPr>
          <w:sz w:val="18"/>
          <w:szCs w:val="18"/>
        </w:rPr>
        <w:t xml:space="preserve">David Bailey, ‘Restrictions of competition by object under Article 101 </w:t>
      </w:r>
      <w:proofErr w:type="spellStart"/>
      <w:r w:rsidRPr="009737A3">
        <w:rPr>
          <w:sz w:val="18"/>
          <w:szCs w:val="18"/>
        </w:rPr>
        <w:t>TFEU</w:t>
      </w:r>
      <w:proofErr w:type="spellEnd"/>
      <w:r w:rsidRPr="009737A3">
        <w:rPr>
          <w:sz w:val="18"/>
          <w:szCs w:val="18"/>
        </w:rPr>
        <w:t>’ (2012) Common Market Law Review 559</w:t>
      </w:r>
    </w:p>
  </w:footnote>
  <w:footnote w:id="29">
    <w:p w:rsidR="0052549E" w:rsidRPr="009737A3" w:rsidRDefault="0052549E" w:rsidP="00BE1045">
      <w:pPr>
        <w:autoSpaceDE w:val="0"/>
        <w:autoSpaceDN w:val="0"/>
        <w:adjustRightInd w:val="0"/>
        <w:spacing w:before="0" w:after="0" w:line="240" w:lineRule="auto"/>
        <w:jc w:val="left"/>
        <w:rPr>
          <w:i/>
          <w:iCs/>
          <w:sz w:val="18"/>
          <w:szCs w:val="18"/>
          <w:lang w:val="hr-HR"/>
        </w:rPr>
      </w:pPr>
      <w:r w:rsidRPr="009737A3">
        <w:rPr>
          <w:rStyle w:val="Referencafusnote"/>
          <w:sz w:val="18"/>
          <w:szCs w:val="18"/>
        </w:rPr>
        <w:footnoteRef/>
      </w:r>
      <w:proofErr w:type="spellStart"/>
      <w:r w:rsidRPr="009737A3">
        <w:rPr>
          <w:sz w:val="18"/>
          <w:szCs w:val="18"/>
        </w:rPr>
        <w:t>Predmet</w:t>
      </w:r>
      <w:proofErr w:type="spellEnd"/>
      <w:r w:rsidRPr="009737A3">
        <w:rPr>
          <w:sz w:val="18"/>
          <w:szCs w:val="18"/>
          <w:lang w:val="hr-HR"/>
        </w:rPr>
        <w:t xml:space="preserve">96-102, 104, 105, 108 </w:t>
      </w:r>
      <w:proofErr w:type="spellStart"/>
      <w:r w:rsidRPr="009737A3">
        <w:rPr>
          <w:sz w:val="18"/>
          <w:szCs w:val="18"/>
          <w:lang w:val="hr-HR"/>
        </w:rPr>
        <w:t>and</w:t>
      </w:r>
      <w:proofErr w:type="spellEnd"/>
      <w:r w:rsidRPr="009737A3">
        <w:rPr>
          <w:sz w:val="18"/>
          <w:szCs w:val="18"/>
          <w:lang w:val="hr-HR"/>
        </w:rPr>
        <w:t xml:space="preserve"> 110/82 </w:t>
      </w:r>
      <w:proofErr w:type="spellStart"/>
      <w:r w:rsidRPr="009737A3">
        <w:rPr>
          <w:i/>
          <w:iCs/>
          <w:sz w:val="18"/>
          <w:szCs w:val="18"/>
          <w:lang w:val="hr-HR"/>
        </w:rPr>
        <w:t>IAZ</w:t>
      </w:r>
      <w:proofErr w:type="spellEnd"/>
      <w:r w:rsidRPr="009737A3">
        <w:rPr>
          <w:i/>
          <w:iCs/>
          <w:sz w:val="18"/>
          <w:szCs w:val="18"/>
          <w:lang w:val="hr-HR"/>
        </w:rPr>
        <w:t xml:space="preserve"> v </w:t>
      </w:r>
      <w:proofErr w:type="spellStart"/>
      <w:proofErr w:type="gramStart"/>
      <w:r w:rsidRPr="009737A3">
        <w:rPr>
          <w:i/>
          <w:iCs/>
          <w:sz w:val="18"/>
          <w:szCs w:val="18"/>
          <w:lang w:val="hr-HR"/>
        </w:rPr>
        <w:t>Commission</w:t>
      </w:r>
      <w:proofErr w:type="spellEnd"/>
      <w:r w:rsidRPr="009737A3">
        <w:rPr>
          <w:sz w:val="18"/>
          <w:szCs w:val="18"/>
          <w:lang w:val="hr-HR"/>
        </w:rPr>
        <w:t>[</w:t>
      </w:r>
      <w:proofErr w:type="gramEnd"/>
      <w:r w:rsidRPr="009737A3">
        <w:rPr>
          <w:sz w:val="18"/>
          <w:szCs w:val="18"/>
          <w:lang w:val="hr-HR"/>
        </w:rPr>
        <w:t xml:space="preserve">1983] </w:t>
      </w:r>
      <w:proofErr w:type="spellStart"/>
      <w:r w:rsidRPr="009737A3">
        <w:rPr>
          <w:sz w:val="18"/>
          <w:szCs w:val="18"/>
          <w:lang w:val="hr-HR"/>
        </w:rPr>
        <w:t>ECR</w:t>
      </w:r>
      <w:proofErr w:type="spellEnd"/>
      <w:r w:rsidRPr="009737A3">
        <w:rPr>
          <w:sz w:val="18"/>
          <w:szCs w:val="18"/>
          <w:lang w:val="hr-HR"/>
        </w:rPr>
        <w:t xml:space="preserve"> 3369 stavak 23, i dalje 32, 36, 82/78 </w:t>
      </w:r>
      <w:r w:rsidRPr="009737A3">
        <w:rPr>
          <w:i/>
          <w:iCs/>
          <w:sz w:val="18"/>
          <w:szCs w:val="18"/>
          <w:lang w:val="hr-HR"/>
        </w:rPr>
        <w:t xml:space="preserve">BMW </w:t>
      </w:r>
      <w:proofErr w:type="spellStart"/>
      <w:r w:rsidRPr="009737A3">
        <w:rPr>
          <w:i/>
          <w:iCs/>
          <w:sz w:val="18"/>
          <w:szCs w:val="18"/>
          <w:lang w:val="hr-HR"/>
        </w:rPr>
        <w:t>Belgium</w:t>
      </w:r>
      <w:proofErr w:type="spellEnd"/>
      <w:r w:rsidRPr="009737A3">
        <w:rPr>
          <w:i/>
          <w:iCs/>
          <w:sz w:val="18"/>
          <w:szCs w:val="18"/>
          <w:lang w:val="hr-HR"/>
        </w:rPr>
        <w:t xml:space="preserve"> v. </w:t>
      </w:r>
      <w:proofErr w:type="spellStart"/>
      <w:r w:rsidRPr="009737A3">
        <w:rPr>
          <w:i/>
          <w:iCs/>
          <w:sz w:val="18"/>
          <w:szCs w:val="18"/>
          <w:lang w:val="hr-HR"/>
        </w:rPr>
        <w:t>Commission</w:t>
      </w:r>
      <w:proofErr w:type="spellEnd"/>
      <w:r w:rsidRPr="009737A3">
        <w:rPr>
          <w:sz w:val="18"/>
          <w:szCs w:val="18"/>
          <w:lang w:val="hr-HR"/>
        </w:rPr>
        <w:t xml:space="preserve">, [1979] </w:t>
      </w:r>
      <w:proofErr w:type="spellStart"/>
      <w:r w:rsidRPr="009737A3">
        <w:rPr>
          <w:sz w:val="18"/>
          <w:szCs w:val="18"/>
          <w:lang w:val="hr-HR"/>
        </w:rPr>
        <w:t>ECR</w:t>
      </w:r>
      <w:proofErr w:type="spellEnd"/>
      <w:r w:rsidRPr="009737A3">
        <w:rPr>
          <w:sz w:val="18"/>
          <w:szCs w:val="18"/>
          <w:lang w:val="hr-HR"/>
        </w:rPr>
        <w:t xml:space="preserve"> 2435.</w:t>
      </w:r>
    </w:p>
  </w:footnote>
  <w:footnote w:id="30">
    <w:p w:rsidR="0052549E" w:rsidRPr="009737A3" w:rsidRDefault="0052549E" w:rsidP="00BE1045">
      <w:pPr>
        <w:pStyle w:val="Tekstfusnote"/>
        <w:jc w:val="left"/>
        <w:rPr>
          <w:sz w:val="18"/>
          <w:szCs w:val="18"/>
          <w:lang w:val="hr-HR"/>
        </w:rPr>
      </w:pPr>
      <w:r w:rsidRPr="009737A3">
        <w:rPr>
          <w:rStyle w:val="Referencafusnote"/>
          <w:sz w:val="18"/>
          <w:szCs w:val="18"/>
        </w:rPr>
        <w:footnoteRef/>
      </w:r>
      <w:hyperlink r:id="rId6" w:tgtFrame="_blank" w:history="1">
        <w:proofErr w:type="spellStart"/>
        <w:r w:rsidRPr="009737A3">
          <w:rPr>
            <w:rStyle w:val="Hiperveza"/>
            <w:rFonts w:eastAsiaTheme="majorEastAsia"/>
            <w:color w:val="auto"/>
            <w:sz w:val="18"/>
            <w:szCs w:val="18"/>
            <w:u w:val="none"/>
            <w:lang w:val="hr-HR"/>
          </w:rPr>
          <w:t>Prijopćenje</w:t>
        </w:r>
        <w:proofErr w:type="spellEnd"/>
        <w:r w:rsidRPr="009737A3">
          <w:rPr>
            <w:rStyle w:val="Hiperveza"/>
            <w:rFonts w:eastAsiaTheme="majorEastAsia"/>
            <w:color w:val="auto"/>
            <w:sz w:val="18"/>
            <w:szCs w:val="18"/>
            <w:u w:val="none"/>
            <w:lang w:val="hr-HR"/>
          </w:rPr>
          <w:t xml:space="preserve"> Komisije - Obavijest - Smjernice za primjenu članka 81. stavka 3. Ugovora</w:t>
        </w:r>
      </w:hyperlink>
      <w:r w:rsidRPr="009737A3">
        <w:rPr>
          <w:sz w:val="18"/>
          <w:szCs w:val="18"/>
          <w:lang w:val="hr-HR"/>
        </w:rPr>
        <w:br/>
        <w:t>Službeni list C 101, 27/04/2004 str, 97</w:t>
      </w:r>
    </w:p>
  </w:footnote>
  <w:footnote w:id="31">
    <w:p w:rsidR="0052549E" w:rsidRPr="009737A3" w:rsidRDefault="0052549E" w:rsidP="00BE1045">
      <w:pPr>
        <w:pStyle w:val="Tekstfusnote"/>
        <w:jc w:val="left"/>
        <w:rPr>
          <w:sz w:val="18"/>
          <w:szCs w:val="18"/>
          <w:lang w:val="hr-HR"/>
        </w:rPr>
      </w:pPr>
      <w:r w:rsidRPr="009737A3">
        <w:rPr>
          <w:rStyle w:val="Referencafusnote"/>
          <w:sz w:val="18"/>
          <w:szCs w:val="18"/>
        </w:rPr>
        <w:footnoteRef/>
      </w:r>
      <w:proofErr w:type="spellStart"/>
      <w:r w:rsidRPr="009737A3">
        <w:rPr>
          <w:sz w:val="18"/>
          <w:szCs w:val="18"/>
          <w:lang w:val="hr-HR"/>
        </w:rPr>
        <w:t>Ibid</w:t>
      </w:r>
      <w:proofErr w:type="spellEnd"/>
      <w:r w:rsidRPr="009737A3">
        <w:rPr>
          <w:sz w:val="18"/>
          <w:szCs w:val="18"/>
          <w:lang w:val="hr-HR"/>
        </w:rPr>
        <w:t xml:space="preserve"> §21</w:t>
      </w:r>
    </w:p>
  </w:footnote>
  <w:footnote w:id="32">
    <w:p w:rsidR="0052549E" w:rsidRPr="009737A3" w:rsidRDefault="0052549E" w:rsidP="00BE1045">
      <w:pPr>
        <w:spacing w:before="0" w:after="0" w:line="240" w:lineRule="auto"/>
        <w:jc w:val="left"/>
        <w:rPr>
          <w:sz w:val="18"/>
          <w:szCs w:val="18"/>
        </w:rPr>
      </w:pPr>
      <w:r w:rsidRPr="009737A3">
        <w:rPr>
          <w:rStyle w:val="Referencafusnote"/>
          <w:sz w:val="18"/>
          <w:szCs w:val="18"/>
        </w:rPr>
        <w:footnoteRef/>
      </w:r>
      <w:r w:rsidRPr="009737A3">
        <w:rPr>
          <w:sz w:val="18"/>
          <w:szCs w:val="18"/>
          <w:lang w:val="hr-HR"/>
        </w:rPr>
        <w:t xml:space="preserve">Slično i </w:t>
      </w:r>
      <w:r w:rsidRPr="009737A3">
        <w:rPr>
          <w:sz w:val="18"/>
          <w:szCs w:val="18"/>
        </w:rPr>
        <w:t xml:space="preserve">David Bailey, ‘Restrictions of competition by object under Article 101 </w:t>
      </w:r>
      <w:proofErr w:type="spellStart"/>
      <w:r w:rsidRPr="009737A3">
        <w:rPr>
          <w:sz w:val="18"/>
          <w:szCs w:val="18"/>
        </w:rPr>
        <w:t>TFEU</w:t>
      </w:r>
      <w:proofErr w:type="spellEnd"/>
      <w:r w:rsidRPr="009737A3">
        <w:rPr>
          <w:sz w:val="18"/>
          <w:szCs w:val="18"/>
        </w:rPr>
        <w:t>’ (2012) Common Market Law Review 559</w:t>
      </w:r>
    </w:p>
  </w:footnote>
  <w:footnote w:id="33">
    <w:p w:rsidR="0052549E" w:rsidRPr="009737A3" w:rsidRDefault="0052549E" w:rsidP="00BE1045">
      <w:pPr>
        <w:autoSpaceDE w:val="0"/>
        <w:autoSpaceDN w:val="0"/>
        <w:adjustRightInd w:val="0"/>
        <w:spacing w:before="0" w:after="0" w:line="240" w:lineRule="auto"/>
        <w:jc w:val="left"/>
        <w:rPr>
          <w:rFonts w:eastAsia="TimesNewRomanPSMT"/>
          <w:sz w:val="18"/>
          <w:szCs w:val="18"/>
          <w:lang w:val="hr-HR"/>
        </w:rPr>
      </w:pPr>
      <w:r w:rsidRPr="009737A3">
        <w:rPr>
          <w:rStyle w:val="Referencafusnote"/>
          <w:sz w:val="18"/>
          <w:szCs w:val="18"/>
        </w:rPr>
        <w:footnoteRef/>
      </w:r>
      <w:r w:rsidRPr="009737A3">
        <w:rPr>
          <w:rFonts w:eastAsia="TimesNewRomanPSMT"/>
          <w:sz w:val="18"/>
          <w:szCs w:val="18"/>
          <w:lang w:val="hr-HR"/>
        </w:rPr>
        <w:t xml:space="preserve">Predmet T-67/01, </w:t>
      </w:r>
      <w:proofErr w:type="spellStart"/>
      <w:r w:rsidRPr="009737A3">
        <w:rPr>
          <w:rFonts w:eastAsia="TimesNewRomanPS-ItalicMT"/>
          <w:i/>
          <w:iCs/>
          <w:sz w:val="18"/>
          <w:szCs w:val="18"/>
          <w:lang w:val="hr-HR"/>
        </w:rPr>
        <w:t>JCB</w:t>
      </w:r>
      <w:proofErr w:type="spellEnd"/>
      <w:r w:rsidRPr="009737A3">
        <w:rPr>
          <w:rFonts w:eastAsia="TimesNewRomanPS-ItalicMT"/>
          <w:i/>
          <w:iCs/>
          <w:sz w:val="18"/>
          <w:szCs w:val="18"/>
          <w:lang w:val="hr-HR"/>
        </w:rPr>
        <w:t xml:space="preserve"> Service </w:t>
      </w:r>
      <w:r w:rsidRPr="009737A3">
        <w:rPr>
          <w:rFonts w:eastAsia="TimesNewRomanPSMT"/>
          <w:i/>
          <w:sz w:val="18"/>
          <w:szCs w:val="18"/>
          <w:lang w:val="hr-HR"/>
        </w:rPr>
        <w:t>protiv Komisije</w:t>
      </w:r>
      <w:r w:rsidRPr="009737A3">
        <w:rPr>
          <w:rFonts w:eastAsia="TimesNewRomanPSMT"/>
          <w:sz w:val="18"/>
          <w:szCs w:val="18"/>
          <w:lang w:val="hr-HR"/>
        </w:rPr>
        <w:t xml:space="preserve"> [2004] </w:t>
      </w:r>
      <w:proofErr w:type="spellStart"/>
      <w:r w:rsidRPr="009737A3">
        <w:rPr>
          <w:rFonts w:eastAsia="TimesNewRomanPSMT"/>
          <w:sz w:val="18"/>
          <w:szCs w:val="18"/>
          <w:lang w:val="hr-HR"/>
        </w:rPr>
        <w:t>ECR</w:t>
      </w:r>
      <w:proofErr w:type="spellEnd"/>
      <w:r w:rsidRPr="009737A3">
        <w:rPr>
          <w:rFonts w:eastAsia="TimesNewRomanPSMT"/>
          <w:sz w:val="18"/>
          <w:szCs w:val="18"/>
          <w:lang w:val="hr-HR"/>
        </w:rPr>
        <w:t xml:space="preserve"> II-49, §121; Povezani predmeti T-217 &amp; 245/03  </w:t>
      </w:r>
      <w:proofErr w:type="spellStart"/>
      <w:r w:rsidRPr="009737A3">
        <w:rPr>
          <w:rFonts w:eastAsia="TimesNewRomanPS-ItalicMT"/>
          <w:i/>
          <w:iCs/>
          <w:sz w:val="18"/>
          <w:szCs w:val="18"/>
          <w:lang w:val="hr-HR"/>
        </w:rPr>
        <w:t>Fédérationnationale</w:t>
      </w:r>
      <w:proofErr w:type="spellEnd"/>
      <w:r w:rsidRPr="009737A3">
        <w:rPr>
          <w:rFonts w:eastAsia="TimesNewRomanPS-ItalicMT"/>
          <w:i/>
          <w:iCs/>
          <w:sz w:val="18"/>
          <w:szCs w:val="18"/>
          <w:lang w:val="hr-HR"/>
        </w:rPr>
        <w:t xml:space="preserve"> de </w:t>
      </w:r>
      <w:proofErr w:type="spellStart"/>
      <w:r w:rsidRPr="009737A3">
        <w:rPr>
          <w:rFonts w:eastAsia="TimesNewRomanPS-ItalicMT"/>
          <w:i/>
          <w:iCs/>
          <w:sz w:val="18"/>
          <w:szCs w:val="18"/>
          <w:lang w:val="hr-HR"/>
        </w:rPr>
        <w:t>lacoopérationbétail</w:t>
      </w:r>
      <w:proofErr w:type="spellEnd"/>
      <w:r w:rsidRPr="009737A3">
        <w:rPr>
          <w:rFonts w:eastAsia="TimesNewRomanPS-ItalicMT"/>
          <w:i/>
          <w:iCs/>
          <w:sz w:val="18"/>
          <w:szCs w:val="18"/>
          <w:lang w:val="hr-HR"/>
        </w:rPr>
        <w:t xml:space="preserve"> et </w:t>
      </w:r>
      <w:proofErr w:type="spellStart"/>
      <w:r w:rsidRPr="009737A3">
        <w:rPr>
          <w:rFonts w:eastAsia="TimesNewRomanPS-ItalicMT"/>
          <w:i/>
          <w:iCs/>
          <w:sz w:val="18"/>
          <w:szCs w:val="18"/>
          <w:lang w:val="hr-HR"/>
        </w:rPr>
        <w:t>viande</w:t>
      </w:r>
      <w:proofErr w:type="spellEnd"/>
      <w:r w:rsidRPr="009737A3">
        <w:rPr>
          <w:rFonts w:eastAsia="TimesNewRomanPSMT"/>
          <w:sz w:val="18"/>
          <w:szCs w:val="18"/>
          <w:lang w:val="hr-HR"/>
        </w:rPr>
        <w:t xml:space="preserve">[2006] </w:t>
      </w:r>
      <w:proofErr w:type="spellStart"/>
      <w:r w:rsidRPr="009737A3">
        <w:rPr>
          <w:rFonts w:eastAsia="TimesNewRomanPSMT"/>
          <w:sz w:val="18"/>
          <w:szCs w:val="18"/>
          <w:lang w:val="hr-HR"/>
        </w:rPr>
        <w:t>ECR</w:t>
      </w:r>
      <w:proofErr w:type="spellEnd"/>
      <w:r w:rsidRPr="009737A3">
        <w:rPr>
          <w:rFonts w:eastAsia="TimesNewRomanPSMT"/>
          <w:sz w:val="18"/>
          <w:szCs w:val="18"/>
          <w:lang w:val="hr-HR"/>
        </w:rPr>
        <w:t xml:space="preserve"> II-4987,§83.</w:t>
      </w:r>
    </w:p>
  </w:footnote>
  <w:footnote w:id="34">
    <w:p w:rsidR="0052549E" w:rsidRPr="009737A3" w:rsidRDefault="0052549E" w:rsidP="00BE1045">
      <w:pPr>
        <w:spacing w:line="240" w:lineRule="auto"/>
        <w:jc w:val="left"/>
        <w:rPr>
          <w:sz w:val="18"/>
          <w:szCs w:val="18"/>
          <w:lang w:val="hr-HR"/>
        </w:rPr>
      </w:pPr>
      <w:r w:rsidRPr="009737A3">
        <w:rPr>
          <w:rStyle w:val="Referencafusnote"/>
          <w:sz w:val="18"/>
          <w:szCs w:val="18"/>
        </w:rPr>
        <w:footnoteRef/>
      </w:r>
      <w:r w:rsidRPr="009737A3">
        <w:rPr>
          <w:rStyle w:val="affairetitle"/>
          <w:sz w:val="18"/>
          <w:szCs w:val="18"/>
        </w:rPr>
        <w:t>T-374/94 - European Night Services and Others v Commission (</w:t>
      </w:r>
      <w:r w:rsidRPr="009737A3">
        <w:rPr>
          <w:sz w:val="18"/>
          <w:szCs w:val="18"/>
        </w:rPr>
        <w:t>1998) II-03141 135</w:t>
      </w:r>
    </w:p>
  </w:footnote>
  <w:footnote w:id="35">
    <w:p w:rsidR="0052549E" w:rsidRPr="009737A3" w:rsidRDefault="0052549E" w:rsidP="00BE1045">
      <w:pPr>
        <w:pStyle w:val="Tekstfusnote"/>
        <w:jc w:val="left"/>
        <w:rPr>
          <w:sz w:val="18"/>
          <w:szCs w:val="18"/>
        </w:rPr>
      </w:pPr>
      <w:r w:rsidRPr="009737A3">
        <w:rPr>
          <w:rStyle w:val="Referencafusnote"/>
          <w:sz w:val="18"/>
          <w:szCs w:val="18"/>
        </w:rPr>
        <w:footnoteRef/>
      </w:r>
      <w:proofErr w:type="spellStart"/>
      <w:r w:rsidRPr="009737A3">
        <w:rPr>
          <w:sz w:val="18"/>
          <w:szCs w:val="18"/>
        </w:rPr>
        <w:t>Predmet</w:t>
      </w:r>
      <w:proofErr w:type="spellEnd"/>
      <w:r w:rsidRPr="009737A3">
        <w:rPr>
          <w:sz w:val="18"/>
          <w:szCs w:val="18"/>
        </w:rPr>
        <w:t xml:space="preserve"> C-8/08, </w:t>
      </w:r>
      <w:r w:rsidRPr="009737A3">
        <w:rPr>
          <w:i/>
          <w:iCs/>
          <w:sz w:val="18"/>
          <w:szCs w:val="18"/>
        </w:rPr>
        <w:t xml:space="preserve">T-Mobile Netherlands BV v </w:t>
      </w:r>
      <w:proofErr w:type="spellStart"/>
      <w:r w:rsidRPr="009737A3">
        <w:rPr>
          <w:i/>
          <w:iCs/>
          <w:sz w:val="18"/>
          <w:szCs w:val="18"/>
        </w:rPr>
        <w:t>Raad</w:t>
      </w:r>
      <w:proofErr w:type="spellEnd"/>
      <w:r w:rsidRPr="009737A3">
        <w:rPr>
          <w:i/>
          <w:iCs/>
          <w:sz w:val="18"/>
          <w:szCs w:val="18"/>
        </w:rPr>
        <w:t xml:space="preserve"> van </w:t>
      </w:r>
      <w:proofErr w:type="spellStart"/>
      <w:r w:rsidRPr="009737A3">
        <w:rPr>
          <w:i/>
          <w:iCs/>
          <w:sz w:val="18"/>
          <w:szCs w:val="18"/>
        </w:rPr>
        <w:t>beestuur</w:t>
      </w:r>
      <w:proofErr w:type="spellEnd"/>
      <w:r w:rsidRPr="009737A3">
        <w:rPr>
          <w:i/>
          <w:iCs/>
          <w:sz w:val="18"/>
          <w:szCs w:val="18"/>
        </w:rPr>
        <w:t xml:space="preserve"> van de </w:t>
      </w:r>
      <w:proofErr w:type="spellStart"/>
      <w:r w:rsidRPr="009737A3">
        <w:rPr>
          <w:i/>
          <w:iCs/>
          <w:sz w:val="18"/>
          <w:szCs w:val="18"/>
        </w:rPr>
        <w:t>NederlandseMededingingsautoriteit</w:t>
      </w:r>
      <w:proofErr w:type="spellEnd"/>
      <w:r w:rsidRPr="009737A3">
        <w:rPr>
          <w:sz w:val="18"/>
          <w:szCs w:val="18"/>
        </w:rPr>
        <w:t xml:space="preserve">[2009] </w:t>
      </w:r>
      <w:proofErr w:type="spellStart"/>
      <w:r w:rsidRPr="009737A3">
        <w:rPr>
          <w:sz w:val="18"/>
          <w:szCs w:val="18"/>
        </w:rPr>
        <w:t>ECR</w:t>
      </w:r>
      <w:proofErr w:type="spellEnd"/>
      <w:r w:rsidRPr="009737A3">
        <w:rPr>
          <w:sz w:val="18"/>
          <w:szCs w:val="18"/>
        </w:rPr>
        <w:t xml:space="preserve"> I-4529</w:t>
      </w:r>
    </w:p>
  </w:footnote>
  <w:footnote w:id="36">
    <w:p w:rsidR="0052549E" w:rsidRPr="009737A3" w:rsidRDefault="0052549E" w:rsidP="00BE1045">
      <w:pPr>
        <w:pStyle w:val="Default"/>
        <w:rPr>
          <w:rFonts w:ascii="Times New Roman" w:hAnsi="Times New Roman" w:cs="Times New Roman"/>
          <w:color w:val="auto"/>
          <w:sz w:val="18"/>
          <w:szCs w:val="18"/>
        </w:rPr>
      </w:pPr>
      <w:r w:rsidRPr="009737A3">
        <w:rPr>
          <w:rStyle w:val="Referencafusnote"/>
          <w:rFonts w:ascii="Times New Roman" w:hAnsi="Times New Roman" w:cs="Times New Roman"/>
          <w:color w:val="auto"/>
          <w:sz w:val="18"/>
          <w:szCs w:val="18"/>
        </w:rPr>
        <w:footnoteRef/>
      </w:r>
      <w:proofErr w:type="spellStart"/>
      <w:r w:rsidRPr="009737A3">
        <w:rPr>
          <w:rFonts w:ascii="Times New Roman" w:hAnsi="Times New Roman" w:cs="Times New Roman"/>
          <w:color w:val="auto"/>
          <w:sz w:val="18"/>
          <w:szCs w:val="18"/>
        </w:rPr>
        <w:t>SeeCases</w:t>
      </w:r>
      <w:proofErr w:type="spellEnd"/>
      <w:r w:rsidRPr="009737A3">
        <w:rPr>
          <w:rFonts w:ascii="Times New Roman" w:hAnsi="Times New Roman" w:cs="Times New Roman"/>
          <w:color w:val="auto"/>
          <w:sz w:val="18"/>
          <w:szCs w:val="18"/>
        </w:rPr>
        <w:t xml:space="preserve"> 56 &amp; 58/64, </w:t>
      </w:r>
      <w:proofErr w:type="spellStart"/>
      <w:r w:rsidRPr="009737A3">
        <w:rPr>
          <w:rFonts w:ascii="Times New Roman" w:hAnsi="Times New Roman" w:cs="Times New Roman"/>
          <w:i/>
          <w:iCs/>
          <w:color w:val="auto"/>
          <w:sz w:val="18"/>
          <w:szCs w:val="18"/>
        </w:rPr>
        <w:t>Consten</w:t>
      </w:r>
      <w:proofErr w:type="spellEnd"/>
      <w:r w:rsidRPr="009737A3">
        <w:rPr>
          <w:rFonts w:ascii="Times New Roman" w:hAnsi="Times New Roman" w:cs="Times New Roman"/>
          <w:i/>
          <w:iCs/>
          <w:color w:val="auto"/>
          <w:sz w:val="18"/>
          <w:szCs w:val="18"/>
        </w:rPr>
        <w:t>&amp;</w:t>
      </w:r>
      <w:proofErr w:type="spellStart"/>
      <w:r w:rsidRPr="009737A3">
        <w:rPr>
          <w:rFonts w:ascii="Times New Roman" w:hAnsi="Times New Roman" w:cs="Times New Roman"/>
          <w:i/>
          <w:iCs/>
          <w:color w:val="auto"/>
          <w:sz w:val="18"/>
          <w:szCs w:val="18"/>
        </w:rPr>
        <w:t>Grundig</w:t>
      </w:r>
      <w:proofErr w:type="spellEnd"/>
      <w:r w:rsidRPr="009737A3">
        <w:rPr>
          <w:rFonts w:ascii="Times New Roman" w:hAnsi="Times New Roman" w:cs="Times New Roman"/>
          <w:color w:val="auto"/>
          <w:sz w:val="18"/>
          <w:szCs w:val="18"/>
        </w:rPr>
        <w:t xml:space="preserve">[1966] </w:t>
      </w:r>
      <w:proofErr w:type="spellStart"/>
      <w:r w:rsidRPr="009737A3">
        <w:rPr>
          <w:rFonts w:ascii="Times New Roman" w:hAnsi="Times New Roman" w:cs="Times New Roman"/>
          <w:color w:val="auto"/>
          <w:sz w:val="18"/>
          <w:szCs w:val="18"/>
        </w:rPr>
        <w:t>ECR</w:t>
      </w:r>
      <w:proofErr w:type="spellEnd"/>
      <w:r w:rsidRPr="009737A3">
        <w:rPr>
          <w:rFonts w:ascii="Times New Roman" w:hAnsi="Times New Roman" w:cs="Times New Roman"/>
          <w:color w:val="auto"/>
          <w:sz w:val="18"/>
          <w:szCs w:val="18"/>
        </w:rPr>
        <w:t xml:space="preserve"> 299</w:t>
      </w:r>
    </w:p>
  </w:footnote>
  <w:footnote w:id="37">
    <w:p w:rsidR="0052549E" w:rsidRPr="009737A3" w:rsidRDefault="0052549E" w:rsidP="00BE1045">
      <w:pPr>
        <w:pStyle w:val="Tekstfusnote"/>
        <w:jc w:val="left"/>
        <w:rPr>
          <w:sz w:val="18"/>
          <w:szCs w:val="18"/>
        </w:rPr>
      </w:pPr>
      <w:r w:rsidRPr="009737A3">
        <w:rPr>
          <w:rStyle w:val="Referencafusnote"/>
          <w:sz w:val="18"/>
          <w:szCs w:val="18"/>
        </w:rPr>
        <w:footnoteRef/>
      </w:r>
      <w:r w:rsidRPr="009737A3">
        <w:rPr>
          <w:sz w:val="18"/>
          <w:szCs w:val="18"/>
          <w:lang w:val="hr-HR"/>
        </w:rPr>
        <w:t xml:space="preserve">Presuda u predmetu 161/84 </w:t>
      </w:r>
      <w:proofErr w:type="spellStart"/>
      <w:r w:rsidRPr="009737A3">
        <w:rPr>
          <w:rStyle w:val="Naglaeno"/>
          <w:rFonts w:eastAsiaTheme="majorEastAsia"/>
          <w:b w:val="0"/>
          <w:i/>
          <w:sz w:val="18"/>
          <w:szCs w:val="18"/>
        </w:rPr>
        <w:t>Pronuptia</w:t>
      </w:r>
      <w:proofErr w:type="spellEnd"/>
      <w:r w:rsidRPr="009737A3">
        <w:rPr>
          <w:rStyle w:val="Naglaeno"/>
          <w:rFonts w:eastAsiaTheme="majorEastAsia"/>
          <w:b w:val="0"/>
          <w:i/>
          <w:sz w:val="18"/>
          <w:szCs w:val="18"/>
        </w:rPr>
        <w:t xml:space="preserve"> de Paris GmbH v </w:t>
      </w:r>
      <w:proofErr w:type="spellStart"/>
      <w:r w:rsidRPr="009737A3">
        <w:rPr>
          <w:rStyle w:val="Naglaeno"/>
          <w:rFonts w:eastAsiaTheme="majorEastAsia"/>
          <w:b w:val="0"/>
          <w:i/>
          <w:sz w:val="18"/>
          <w:szCs w:val="18"/>
        </w:rPr>
        <w:t>Pronuptia</w:t>
      </w:r>
      <w:proofErr w:type="spellEnd"/>
      <w:r w:rsidRPr="009737A3">
        <w:rPr>
          <w:rStyle w:val="Naglaeno"/>
          <w:rFonts w:eastAsiaTheme="majorEastAsia"/>
          <w:b w:val="0"/>
          <w:i/>
          <w:sz w:val="18"/>
          <w:szCs w:val="18"/>
        </w:rPr>
        <w:t xml:space="preserve"> de Paris </w:t>
      </w:r>
      <w:proofErr w:type="spellStart"/>
      <w:r w:rsidRPr="009737A3">
        <w:rPr>
          <w:rStyle w:val="Naglaeno"/>
          <w:rFonts w:eastAsiaTheme="majorEastAsia"/>
          <w:b w:val="0"/>
          <w:i/>
          <w:sz w:val="18"/>
          <w:szCs w:val="18"/>
        </w:rPr>
        <w:t>IrmgardSchillgallis</w:t>
      </w:r>
      <w:proofErr w:type="spellEnd"/>
      <w:r w:rsidRPr="009737A3">
        <w:rPr>
          <w:rStyle w:val="Naglaeno"/>
          <w:rFonts w:eastAsiaTheme="majorEastAsia"/>
          <w:b w:val="0"/>
          <w:sz w:val="18"/>
          <w:szCs w:val="18"/>
        </w:rPr>
        <w:t xml:space="preserve"> [1986] </w:t>
      </w:r>
      <w:proofErr w:type="spellStart"/>
      <w:r w:rsidRPr="009737A3">
        <w:rPr>
          <w:rStyle w:val="Naglaeno"/>
          <w:rFonts w:eastAsiaTheme="majorEastAsia"/>
          <w:b w:val="0"/>
          <w:sz w:val="18"/>
          <w:szCs w:val="18"/>
        </w:rPr>
        <w:t>ECR</w:t>
      </w:r>
      <w:proofErr w:type="spellEnd"/>
      <w:r w:rsidRPr="009737A3">
        <w:rPr>
          <w:rStyle w:val="Naglaeno"/>
          <w:rFonts w:eastAsiaTheme="majorEastAsia"/>
          <w:b w:val="0"/>
          <w:sz w:val="18"/>
          <w:szCs w:val="18"/>
        </w:rPr>
        <w:t xml:space="preserve"> 383; </w:t>
      </w:r>
      <w:proofErr w:type="spellStart"/>
      <w:r w:rsidRPr="009737A3">
        <w:rPr>
          <w:rStyle w:val="Naglaeno"/>
          <w:rFonts w:eastAsiaTheme="majorEastAsia"/>
          <w:b w:val="0"/>
          <w:sz w:val="18"/>
          <w:szCs w:val="18"/>
        </w:rPr>
        <w:t>Presuda</w:t>
      </w:r>
      <w:proofErr w:type="spellEnd"/>
      <w:r w:rsidRPr="009737A3">
        <w:rPr>
          <w:rStyle w:val="Naglaeno"/>
          <w:rFonts w:eastAsiaTheme="majorEastAsia"/>
          <w:b w:val="0"/>
          <w:sz w:val="18"/>
          <w:szCs w:val="18"/>
        </w:rPr>
        <w:t xml:space="preserve"> u predmetu</w:t>
      </w:r>
      <w:r w:rsidRPr="009737A3">
        <w:rPr>
          <w:sz w:val="18"/>
          <w:szCs w:val="18"/>
        </w:rPr>
        <w:t xml:space="preserve">234/83, </w:t>
      </w:r>
      <w:r w:rsidRPr="009737A3">
        <w:rPr>
          <w:i/>
          <w:iCs/>
          <w:sz w:val="18"/>
          <w:szCs w:val="18"/>
        </w:rPr>
        <w:t xml:space="preserve">SA </w:t>
      </w:r>
      <w:proofErr w:type="spellStart"/>
      <w:r w:rsidRPr="009737A3">
        <w:rPr>
          <w:i/>
          <w:iCs/>
          <w:sz w:val="18"/>
          <w:szCs w:val="18"/>
        </w:rPr>
        <w:t>Binon&amp;Cie</w:t>
      </w:r>
      <w:proofErr w:type="spellEnd"/>
      <w:r w:rsidRPr="009737A3">
        <w:rPr>
          <w:i/>
          <w:iCs/>
          <w:sz w:val="18"/>
          <w:szCs w:val="18"/>
        </w:rPr>
        <w:t xml:space="preserve"> v SA </w:t>
      </w:r>
      <w:proofErr w:type="spellStart"/>
      <w:r w:rsidRPr="009737A3">
        <w:rPr>
          <w:i/>
          <w:iCs/>
          <w:sz w:val="18"/>
          <w:szCs w:val="18"/>
        </w:rPr>
        <w:t>Agence</w:t>
      </w:r>
      <w:proofErr w:type="spellEnd"/>
      <w:r w:rsidRPr="009737A3">
        <w:rPr>
          <w:i/>
          <w:iCs/>
          <w:sz w:val="18"/>
          <w:szCs w:val="18"/>
        </w:rPr>
        <w:t xml:space="preserve"> et </w:t>
      </w:r>
      <w:proofErr w:type="spellStart"/>
      <w:r w:rsidRPr="009737A3">
        <w:rPr>
          <w:i/>
          <w:iCs/>
          <w:sz w:val="18"/>
          <w:szCs w:val="18"/>
        </w:rPr>
        <w:t>Messageries</w:t>
      </w:r>
      <w:proofErr w:type="spellEnd"/>
      <w:r w:rsidRPr="009737A3">
        <w:rPr>
          <w:i/>
          <w:iCs/>
          <w:sz w:val="18"/>
          <w:szCs w:val="18"/>
        </w:rPr>
        <w:t xml:space="preserve"> de la </w:t>
      </w:r>
      <w:proofErr w:type="spellStart"/>
      <w:r w:rsidRPr="009737A3">
        <w:rPr>
          <w:i/>
          <w:iCs/>
          <w:sz w:val="18"/>
          <w:szCs w:val="18"/>
        </w:rPr>
        <w:t>Presse</w:t>
      </w:r>
      <w:proofErr w:type="spellEnd"/>
      <w:r w:rsidRPr="009737A3">
        <w:rPr>
          <w:i/>
          <w:iCs/>
          <w:sz w:val="18"/>
          <w:szCs w:val="18"/>
        </w:rPr>
        <w:t xml:space="preserve"> </w:t>
      </w:r>
      <w:r w:rsidRPr="009737A3">
        <w:rPr>
          <w:sz w:val="18"/>
          <w:szCs w:val="18"/>
        </w:rPr>
        <w:t xml:space="preserve">[1985] </w:t>
      </w:r>
      <w:proofErr w:type="spellStart"/>
      <w:r w:rsidRPr="009737A3">
        <w:rPr>
          <w:sz w:val="18"/>
          <w:szCs w:val="18"/>
        </w:rPr>
        <w:t>ECR</w:t>
      </w:r>
      <w:proofErr w:type="spellEnd"/>
      <w:r w:rsidRPr="009737A3">
        <w:rPr>
          <w:sz w:val="18"/>
          <w:szCs w:val="18"/>
        </w:rPr>
        <w:t xml:space="preserve"> 2015, para 44.</w:t>
      </w:r>
    </w:p>
  </w:footnote>
  <w:footnote w:id="38">
    <w:p w:rsidR="0052549E" w:rsidRPr="009737A3" w:rsidRDefault="0052549E" w:rsidP="00BE1045">
      <w:pPr>
        <w:pStyle w:val="Tekstfusnote"/>
        <w:jc w:val="left"/>
        <w:rPr>
          <w:sz w:val="18"/>
          <w:szCs w:val="18"/>
        </w:rPr>
      </w:pPr>
      <w:r w:rsidRPr="009737A3">
        <w:rPr>
          <w:rStyle w:val="Referencafusnote"/>
          <w:sz w:val="18"/>
          <w:szCs w:val="18"/>
        </w:rPr>
        <w:footnoteRef/>
      </w:r>
      <w:r w:rsidRPr="009737A3">
        <w:rPr>
          <w:sz w:val="18"/>
          <w:szCs w:val="18"/>
        </w:rPr>
        <w:t xml:space="preserve"> Bailey, op n22, </w:t>
      </w:r>
    </w:p>
  </w:footnote>
  <w:footnote w:id="39">
    <w:p w:rsidR="0052549E" w:rsidRPr="009737A3" w:rsidRDefault="0052549E" w:rsidP="00BE1045">
      <w:pPr>
        <w:autoSpaceDE w:val="0"/>
        <w:autoSpaceDN w:val="0"/>
        <w:adjustRightInd w:val="0"/>
        <w:spacing w:line="240" w:lineRule="auto"/>
        <w:jc w:val="left"/>
        <w:rPr>
          <w:i/>
          <w:iCs/>
          <w:sz w:val="18"/>
          <w:szCs w:val="18"/>
          <w:lang w:val="hr-HR"/>
        </w:rPr>
      </w:pPr>
      <w:r w:rsidRPr="009737A3">
        <w:rPr>
          <w:rStyle w:val="Referencafusnote"/>
          <w:sz w:val="18"/>
          <w:szCs w:val="18"/>
        </w:rPr>
        <w:footnoteRef/>
      </w:r>
      <w:r w:rsidRPr="009737A3">
        <w:rPr>
          <w:sz w:val="18"/>
          <w:szCs w:val="18"/>
          <w:lang w:val="hr-HR"/>
        </w:rPr>
        <w:t xml:space="preserve">Spojeni </w:t>
      </w:r>
      <w:proofErr w:type="spellStart"/>
      <w:r w:rsidRPr="009737A3">
        <w:rPr>
          <w:sz w:val="18"/>
          <w:szCs w:val="18"/>
          <w:lang w:val="hr-HR"/>
        </w:rPr>
        <w:t>predmetiC</w:t>
      </w:r>
      <w:proofErr w:type="spellEnd"/>
      <w:r w:rsidRPr="009737A3">
        <w:rPr>
          <w:rFonts w:ascii="MS Mincho" w:eastAsia="MS Mincho" w:hAnsi="MS Mincho" w:cs="MS Mincho" w:hint="eastAsia"/>
          <w:sz w:val="18"/>
          <w:szCs w:val="18"/>
          <w:lang w:val="hr-HR"/>
        </w:rPr>
        <w:t>‑</w:t>
      </w:r>
      <w:r w:rsidRPr="009737A3">
        <w:rPr>
          <w:sz w:val="18"/>
          <w:szCs w:val="18"/>
          <w:lang w:val="hr-HR"/>
        </w:rPr>
        <w:t>501/06 P, C</w:t>
      </w:r>
      <w:r w:rsidRPr="009737A3">
        <w:rPr>
          <w:rFonts w:ascii="MS Mincho" w:eastAsia="MS Mincho" w:hAnsi="MS Mincho" w:cs="MS Mincho" w:hint="eastAsia"/>
          <w:sz w:val="18"/>
          <w:szCs w:val="18"/>
          <w:lang w:val="hr-HR"/>
        </w:rPr>
        <w:t>‑</w:t>
      </w:r>
      <w:r w:rsidRPr="009737A3">
        <w:rPr>
          <w:sz w:val="18"/>
          <w:szCs w:val="18"/>
          <w:lang w:val="hr-HR"/>
        </w:rPr>
        <w:t>513/06 P, C</w:t>
      </w:r>
      <w:r w:rsidRPr="009737A3">
        <w:rPr>
          <w:rFonts w:ascii="MS Mincho" w:eastAsia="MS Mincho" w:hAnsi="MS Mincho" w:cs="MS Mincho" w:hint="eastAsia"/>
          <w:sz w:val="18"/>
          <w:szCs w:val="18"/>
          <w:lang w:val="hr-HR"/>
        </w:rPr>
        <w:t>‑</w:t>
      </w:r>
      <w:r w:rsidRPr="009737A3">
        <w:rPr>
          <w:sz w:val="18"/>
          <w:szCs w:val="18"/>
          <w:lang w:val="hr-HR"/>
        </w:rPr>
        <w:t xml:space="preserve">515/06 P </w:t>
      </w:r>
      <w:proofErr w:type="spellStart"/>
      <w:r w:rsidRPr="009737A3">
        <w:rPr>
          <w:sz w:val="18"/>
          <w:szCs w:val="18"/>
          <w:lang w:val="hr-HR"/>
        </w:rPr>
        <w:t>and</w:t>
      </w:r>
      <w:proofErr w:type="spellEnd"/>
      <w:r w:rsidRPr="009737A3">
        <w:rPr>
          <w:sz w:val="18"/>
          <w:szCs w:val="18"/>
          <w:lang w:val="hr-HR"/>
        </w:rPr>
        <w:t xml:space="preserve"> C</w:t>
      </w:r>
      <w:r w:rsidRPr="009737A3">
        <w:rPr>
          <w:rFonts w:ascii="MS Mincho" w:eastAsia="MS Mincho" w:hAnsi="MS Mincho" w:cs="MS Mincho" w:hint="eastAsia"/>
          <w:sz w:val="18"/>
          <w:szCs w:val="18"/>
          <w:lang w:val="hr-HR"/>
        </w:rPr>
        <w:t>‑</w:t>
      </w:r>
      <w:r w:rsidRPr="009737A3">
        <w:rPr>
          <w:sz w:val="18"/>
          <w:szCs w:val="18"/>
          <w:lang w:val="hr-HR"/>
        </w:rPr>
        <w:t xml:space="preserve">519/06 P </w:t>
      </w:r>
      <w:r w:rsidRPr="009737A3">
        <w:rPr>
          <w:i/>
          <w:iCs/>
          <w:sz w:val="18"/>
          <w:szCs w:val="18"/>
          <w:lang w:val="hr-HR"/>
        </w:rPr>
        <w:t xml:space="preserve">GlaxoSmithKline </w:t>
      </w:r>
      <w:proofErr w:type="spellStart"/>
      <w:r w:rsidRPr="009737A3">
        <w:rPr>
          <w:i/>
          <w:iCs/>
          <w:sz w:val="18"/>
          <w:szCs w:val="18"/>
          <w:lang w:val="hr-HR"/>
        </w:rPr>
        <w:t>ServicesandOthers</w:t>
      </w:r>
      <w:proofErr w:type="spellEnd"/>
      <w:r w:rsidRPr="009737A3">
        <w:rPr>
          <w:i/>
          <w:iCs/>
          <w:sz w:val="18"/>
          <w:szCs w:val="18"/>
          <w:lang w:val="hr-HR"/>
        </w:rPr>
        <w:t xml:space="preserve"> v Komisija </w:t>
      </w:r>
      <w:r w:rsidRPr="009737A3">
        <w:rPr>
          <w:sz w:val="18"/>
          <w:szCs w:val="18"/>
          <w:lang w:val="hr-HR"/>
        </w:rPr>
        <w:t xml:space="preserve">[2009] </w:t>
      </w:r>
      <w:proofErr w:type="spellStart"/>
      <w:r w:rsidRPr="009737A3">
        <w:rPr>
          <w:sz w:val="18"/>
          <w:szCs w:val="18"/>
          <w:lang w:val="hr-HR"/>
        </w:rPr>
        <w:t>ECR</w:t>
      </w:r>
      <w:proofErr w:type="spellEnd"/>
      <w:r w:rsidRPr="009737A3">
        <w:rPr>
          <w:sz w:val="18"/>
          <w:szCs w:val="18"/>
          <w:lang w:val="hr-HR"/>
        </w:rPr>
        <w:t xml:space="preserve"> I</w:t>
      </w:r>
      <w:r w:rsidRPr="009737A3">
        <w:rPr>
          <w:rFonts w:ascii="MS Mincho" w:eastAsia="MS Mincho" w:hAnsi="MS Mincho" w:cs="MS Mincho" w:hint="eastAsia"/>
          <w:sz w:val="18"/>
          <w:szCs w:val="18"/>
          <w:lang w:val="hr-HR"/>
        </w:rPr>
        <w:t>‑</w:t>
      </w:r>
      <w:r w:rsidRPr="009737A3">
        <w:rPr>
          <w:sz w:val="18"/>
          <w:szCs w:val="18"/>
          <w:lang w:val="hr-HR"/>
        </w:rPr>
        <w:t>9291 (</w:t>
      </w:r>
      <w:proofErr w:type="spellStart"/>
      <w:r w:rsidRPr="009737A3">
        <w:rPr>
          <w:i/>
          <w:iCs/>
          <w:sz w:val="18"/>
          <w:szCs w:val="18"/>
          <w:lang w:val="hr-HR"/>
        </w:rPr>
        <w:t>GSK</w:t>
      </w:r>
      <w:proofErr w:type="spellEnd"/>
      <w:r w:rsidRPr="009737A3">
        <w:rPr>
          <w:i/>
          <w:iCs/>
          <w:sz w:val="18"/>
          <w:szCs w:val="18"/>
          <w:lang w:val="hr-HR"/>
        </w:rPr>
        <w:t xml:space="preserve"> (</w:t>
      </w:r>
      <w:proofErr w:type="spellStart"/>
      <w:r w:rsidRPr="009737A3">
        <w:rPr>
          <w:i/>
          <w:iCs/>
          <w:sz w:val="18"/>
          <w:szCs w:val="18"/>
          <w:lang w:val="hr-HR"/>
        </w:rPr>
        <w:t>CJ</w:t>
      </w:r>
      <w:proofErr w:type="spellEnd"/>
      <w:r w:rsidRPr="009737A3">
        <w:rPr>
          <w:i/>
          <w:iCs/>
          <w:sz w:val="18"/>
          <w:szCs w:val="18"/>
          <w:lang w:val="hr-HR"/>
        </w:rPr>
        <w:t>)</w:t>
      </w:r>
      <w:r w:rsidRPr="009737A3">
        <w:rPr>
          <w:sz w:val="18"/>
          <w:szCs w:val="18"/>
          <w:lang w:val="hr-HR"/>
        </w:rPr>
        <w:t>),</w:t>
      </w:r>
    </w:p>
  </w:footnote>
  <w:footnote w:id="40">
    <w:p w:rsidR="0052549E" w:rsidRPr="009737A3" w:rsidRDefault="0052549E" w:rsidP="00BE1045">
      <w:pPr>
        <w:autoSpaceDE w:val="0"/>
        <w:autoSpaceDN w:val="0"/>
        <w:adjustRightInd w:val="0"/>
        <w:spacing w:before="0" w:after="0" w:line="240" w:lineRule="auto"/>
        <w:jc w:val="left"/>
        <w:rPr>
          <w:rFonts w:eastAsia="TimesNewRomanPS-ItalicMT"/>
          <w:i/>
          <w:iCs/>
          <w:sz w:val="18"/>
          <w:szCs w:val="18"/>
          <w:lang w:val="hr-HR"/>
        </w:rPr>
      </w:pPr>
      <w:r w:rsidRPr="009737A3">
        <w:rPr>
          <w:rStyle w:val="Referencafusnote"/>
          <w:sz w:val="18"/>
          <w:szCs w:val="18"/>
        </w:rPr>
        <w:footnoteRef/>
      </w:r>
      <w:proofErr w:type="spellStart"/>
      <w:r w:rsidRPr="009737A3">
        <w:rPr>
          <w:rFonts w:eastAsia="TimesNewRomanPSMT"/>
          <w:sz w:val="18"/>
          <w:szCs w:val="18"/>
          <w:lang w:val="hr-HR"/>
        </w:rPr>
        <w:t>Cf</w:t>
      </w:r>
      <w:proofErr w:type="spellEnd"/>
      <w:r w:rsidRPr="009737A3">
        <w:rPr>
          <w:rFonts w:eastAsia="TimesNewRomanPSMT"/>
          <w:sz w:val="18"/>
          <w:szCs w:val="18"/>
          <w:lang w:val="hr-HR"/>
        </w:rPr>
        <w:t xml:space="preserve">. </w:t>
      </w:r>
      <w:proofErr w:type="spellStart"/>
      <w:r w:rsidRPr="009737A3">
        <w:rPr>
          <w:rFonts w:eastAsia="TimesNewRomanPSMT"/>
          <w:sz w:val="18"/>
          <w:szCs w:val="18"/>
          <w:lang w:val="hr-HR"/>
        </w:rPr>
        <w:t>Levine</w:t>
      </w:r>
      <w:proofErr w:type="spellEnd"/>
      <w:r w:rsidRPr="009737A3">
        <w:rPr>
          <w:rFonts w:eastAsia="TimesNewRomanPSMT"/>
          <w:sz w:val="18"/>
          <w:szCs w:val="18"/>
          <w:lang w:val="hr-HR"/>
        </w:rPr>
        <w:t xml:space="preserve">, “Price </w:t>
      </w:r>
      <w:proofErr w:type="spellStart"/>
      <w:r w:rsidRPr="009737A3">
        <w:rPr>
          <w:rFonts w:eastAsia="TimesNewRomanPSMT"/>
          <w:sz w:val="18"/>
          <w:szCs w:val="18"/>
          <w:lang w:val="hr-HR"/>
        </w:rPr>
        <w:t>discriminationwithoutmarketpower</w:t>
      </w:r>
      <w:proofErr w:type="spellEnd"/>
      <w:r w:rsidRPr="009737A3">
        <w:rPr>
          <w:rFonts w:eastAsia="TimesNewRomanPSMT"/>
          <w:sz w:val="18"/>
          <w:szCs w:val="18"/>
          <w:lang w:val="hr-HR"/>
        </w:rPr>
        <w:t xml:space="preserve">”, 19 </w:t>
      </w:r>
      <w:proofErr w:type="spellStart"/>
      <w:r w:rsidRPr="009737A3">
        <w:rPr>
          <w:rFonts w:eastAsia="TimesNewRomanPS-ItalicMT"/>
          <w:i/>
          <w:iCs/>
          <w:sz w:val="18"/>
          <w:szCs w:val="18"/>
          <w:lang w:val="hr-HR"/>
        </w:rPr>
        <w:t>YaleJournal</w:t>
      </w:r>
      <w:proofErr w:type="spellEnd"/>
      <w:r w:rsidRPr="009737A3">
        <w:rPr>
          <w:rFonts w:eastAsia="TimesNewRomanPS-ItalicMT"/>
          <w:i/>
          <w:iCs/>
          <w:sz w:val="18"/>
          <w:szCs w:val="18"/>
          <w:lang w:val="hr-HR"/>
        </w:rPr>
        <w:t xml:space="preserve"> on Reg.</w:t>
      </w:r>
      <w:r w:rsidRPr="009737A3">
        <w:rPr>
          <w:rFonts w:eastAsia="TimesNewRomanPSMT"/>
          <w:sz w:val="18"/>
          <w:szCs w:val="18"/>
          <w:lang w:val="hr-HR"/>
        </w:rPr>
        <w:t>(2002), 1.</w:t>
      </w:r>
    </w:p>
  </w:footnote>
  <w:footnote w:id="41">
    <w:p w:rsidR="0052549E" w:rsidRPr="009737A3" w:rsidRDefault="0052549E" w:rsidP="00BE1045">
      <w:pPr>
        <w:pStyle w:val="Tekstfusnote"/>
        <w:spacing w:before="0" w:after="0"/>
        <w:jc w:val="left"/>
        <w:rPr>
          <w:sz w:val="18"/>
          <w:szCs w:val="18"/>
          <w:lang w:val="hr-HR"/>
        </w:rPr>
      </w:pPr>
      <w:r w:rsidRPr="009737A3">
        <w:rPr>
          <w:rStyle w:val="Referencafusnote"/>
          <w:sz w:val="18"/>
          <w:szCs w:val="18"/>
        </w:rPr>
        <w:footnoteRef/>
      </w:r>
      <w:r w:rsidRPr="009737A3">
        <w:rPr>
          <w:sz w:val="18"/>
          <w:szCs w:val="18"/>
          <w:lang w:val="hr-HR"/>
        </w:rPr>
        <w:t xml:space="preserve">Predmet 4/73 </w:t>
      </w:r>
      <w:proofErr w:type="spellStart"/>
      <w:r w:rsidRPr="009737A3">
        <w:rPr>
          <w:i/>
          <w:sz w:val="18"/>
          <w:szCs w:val="18"/>
          <w:lang w:val="hr-HR"/>
        </w:rPr>
        <w:t>Nold</w:t>
      </w:r>
      <w:proofErr w:type="spellEnd"/>
      <w:r w:rsidRPr="009737A3">
        <w:rPr>
          <w:i/>
          <w:sz w:val="18"/>
          <w:szCs w:val="18"/>
          <w:lang w:val="hr-HR"/>
        </w:rPr>
        <w:t xml:space="preserve"> protiv Komisije </w:t>
      </w:r>
      <w:r w:rsidRPr="009737A3">
        <w:rPr>
          <w:sz w:val="18"/>
          <w:szCs w:val="18"/>
          <w:lang w:val="hr-HR"/>
        </w:rPr>
        <w:t xml:space="preserve">[1974] </w:t>
      </w:r>
      <w:proofErr w:type="spellStart"/>
      <w:r w:rsidRPr="009737A3">
        <w:rPr>
          <w:sz w:val="18"/>
          <w:szCs w:val="18"/>
          <w:lang w:val="hr-HR"/>
        </w:rPr>
        <w:t>ECR</w:t>
      </w:r>
      <w:proofErr w:type="spellEnd"/>
      <w:r w:rsidRPr="009737A3">
        <w:rPr>
          <w:sz w:val="18"/>
          <w:szCs w:val="18"/>
          <w:lang w:val="hr-HR"/>
        </w:rPr>
        <w:t xml:space="preserve"> 491</w:t>
      </w:r>
    </w:p>
  </w:footnote>
  <w:footnote w:id="42">
    <w:p w:rsidR="0052549E" w:rsidRPr="009737A3" w:rsidRDefault="0052549E" w:rsidP="00BE1045">
      <w:pPr>
        <w:pStyle w:val="004Objet"/>
        <w:rPr>
          <w:rFonts w:ascii="Times New Roman" w:hAnsi="Times New Roman" w:cs="Times New Roman"/>
          <w:sz w:val="18"/>
          <w:szCs w:val="18"/>
        </w:rPr>
      </w:pPr>
      <w:r w:rsidRPr="009737A3">
        <w:rPr>
          <w:rStyle w:val="Referencafusnote"/>
          <w:rFonts w:ascii="Times New Roman" w:hAnsi="Times New Roman" w:cs="Times New Roman"/>
          <w:sz w:val="18"/>
          <w:szCs w:val="18"/>
        </w:rPr>
        <w:footnoteRef/>
      </w:r>
      <w:proofErr w:type="spellStart"/>
      <w:r w:rsidRPr="009737A3">
        <w:rPr>
          <w:rFonts w:ascii="Times New Roman" w:hAnsi="Times New Roman" w:cs="Times New Roman"/>
          <w:sz w:val="18"/>
          <w:szCs w:val="18"/>
        </w:rPr>
        <w:t>Case</w:t>
      </w:r>
      <w:proofErr w:type="spellEnd"/>
      <w:r w:rsidRPr="009737A3">
        <w:rPr>
          <w:rFonts w:ascii="Times New Roman" w:hAnsi="Times New Roman" w:cs="Times New Roman"/>
          <w:sz w:val="18"/>
          <w:szCs w:val="18"/>
        </w:rPr>
        <w:t xml:space="preserve"> C-439/09 </w:t>
      </w:r>
      <w:proofErr w:type="spellStart"/>
      <w:r w:rsidRPr="009737A3">
        <w:rPr>
          <w:rFonts w:ascii="Times New Roman" w:hAnsi="Times New Roman" w:cs="Times New Roman"/>
          <w:sz w:val="18"/>
          <w:szCs w:val="18"/>
        </w:rPr>
        <w:t>PierreFabreDermo</w:t>
      </w:r>
      <w:proofErr w:type="spellEnd"/>
      <w:r w:rsidRPr="009737A3">
        <w:rPr>
          <w:rFonts w:ascii="Times New Roman" w:hAnsi="Times New Roman" w:cs="Times New Roman"/>
          <w:sz w:val="18"/>
          <w:szCs w:val="18"/>
        </w:rPr>
        <w:t>-</w:t>
      </w:r>
      <w:proofErr w:type="spellStart"/>
      <w:r w:rsidRPr="009737A3">
        <w:rPr>
          <w:rFonts w:ascii="Times New Roman" w:hAnsi="Times New Roman" w:cs="Times New Roman"/>
          <w:sz w:val="18"/>
          <w:szCs w:val="18"/>
        </w:rPr>
        <w:t>CosmétiqueSAS</w:t>
      </w:r>
      <w:proofErr w:type="spellEnd"/>
      <w:r w:rsidRPr="009737A3">
        <w:rPr>
          <w:rFonts w:ascii="Times New Roman" w:hAnsi="Times New Roman" w:cs="Times New Roman"/>
          <w:sz w:val="18"/>
          <w:szCs w:val="18"/>
        </w:rPr>
        <w:t xml:space="preserve"> v </w:t>
      </w:r>
      <w:proofErr w:type="spellStart"/>
      <w:r w:rsidRPr="009737A3">
        <w:rPr>
          <w:rFonts w:ascii="Times New Roman" w:hAnsi="Times New Roman" w:cs="Times New Roman"/>
          <w:sz w:val="18"/>
          <w:szCs w:val="18"/>
        </w:rPr>
        <w:t>Président</w:t>
      </w:r>
      <w:proofErr w:type="spellEnd"/>
      <w:r w:rsidRPr="009737A3">
        <w:rPr>
          <w:rFonts w:ascii="Times New Roman" w:hAnsi="Times New Roman" w:cs="Times New Roman"/>
          <w:sz w:val="18"/>
          <w:szCs w:val="18"/>
        </w:rPr>
        <w:t xml:space="preserve"> de l'</w:t>
      </w:r>
      <w:proofErr w:type="spellStart"/>
      <w:r w:rsidRPr="009737A3">
        <w:rPr>
          <w:rFonts w:ascii="Times New Roman" w:hAnsi="Times New Roman" w:cs="Times New Roman"/>
          <w:sz w:val="18"/>
          <w:szCs w:val="18"/>
        </w:rPr>
        <w:t>Autorité</w:t>
      </w:r>
      <w:proofErr w:type="spellEnd"/>
      <w:r w:rsidRPr="009737A3">
        <w:rPr>
          <w:rFonts w:ascii="Times New Roman" w:hAnsi="Times New Roman" w:cs="Times New Roman"/>
          <w:sz w:val="18"/>
          <w:szCs w:val="18"/>
        </w:rPr>
        <w:t xml:space="preserve"> de </w:t>
      </w:r>
      <w:proofErr w:type="spellStart"/>
      <w:r w:rsidRPr="009737A3">
        <w:rPr>
          <w:rFonts w:ascii="Times New Roman" w:hAnsi="Times New Roman" w:cs="Times New Roman"/>
          <w:sz w:val="18"/>
          <w:szCs w:val="18"/>
        </w:rPr>
        <w:t>laconcurrenze</w:t>
      </w:r>
      <w:proofErr w:type="spellEnd"/>
    </w:p>
  </w:footnote>
  <w:footnote w:id="43">
    <w:p w:rsidR="0052549E" w:rsidRPr="009737A3" w:rsidRDefault="0052549E" w:rsidP="00BE1045">
      <w:pPr>
        <w:pStyle w:val="Tekstfusnote"/>
        <w:jc w:val="left"/>
        <w:rPr>
          <w:sz w:val="18"/>
          <w:szCs w:val="18"/>
        </w:rPr>
      </w:pPr>
      <w:r w:rsidRPr="009737A3">
        <w:rPr>
          <w:rStyle w:val="Referencafusnote"/>
          <w:sz w:val="18"/>
          <w:szCs w:val="18"/>
        </w:rPr>
        <w:footnoteRef/>
      </w:r>
      <w:r w:rsidRPr="009737A3">
        <w:rPr>
          <w:sz w:val="18"/>
          <w:szCs w:val="18"/>
        </w:rPr>
        <w:t xml:space="preserve"> Case C-32/11 Allianz </w:t>
      </w:r>
      <w:proofErr w:type="spellStart"/>
      <w:r w:rsidRPr="009737A3">
        <w:rPr>
          <w:sz w:val="18"/>
          <w:szCs w:val="18"/>
        </w:rPr>
        <w:t>Hungária</w:t>
      </w:r>
      <w:proofErr w:type="spellEnd"/>
      <w:r w:rsidRPr="009737A3">
        <w:rPr>
          <w:sz w:val="18"/>
          <w:szCs w:val="18"/>
        </w:rPr>
        <w:t xml:space="preserve"> and others v </w:t>
      </w:r>
      <w:proofErr w:type="spellStart"/>
      <w:r w:rsidRPr="009737A3">
        <w:rPr>
          <w:sz w:val="18"/>
          <w:szCs w:val="18"/>
        </w:rPr>
        <w:t>GazdaságiVersenyhivatalon</w:t>
      </w:r>
      <w:proofErr w:type="spellEnd"/>
      <w:r w:rsidRPr="009737A3">
        <w:rPr>
          <w:sz w:val="18"/>
          <w:szCs w:val="18"/>
        </w:rPr>
        <w:t xml:space="preserve"> [2013] </w:t>
      </w:r>
      <w:proofErr w:type="spellStart"/>
      <w:r w:rsidRPr="009737A3">
        <w:rPr>
          <w:sz w:val="18"/>
          <w:szCs w:val="18"/>
        </w:rPr>
        <w:t>ECR</w:t>
      </w:r>
      <w:proofErr w:type="spellEnd"/>
      <w:r w:rsidRPr="009737A3">
        <w:rPr>
          <w:sz w:val="18"/>
          <w:szCs w:val="18"/>
        </w:rPr>
        <w:t xml:space="preserve"> 0000</w:t>
      </w:r>
    </w:p>
  </w:footnote>
  <w:footnote w:id="44">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rPr>
        <w:t xml:space="preserve"> For different approach see opinion of AG </w:t>
      </w:r>
      <w:proofErr w:type="spellStart"/>
      <w:r w:rsidRPr="009737A3">
        <w:rPr>
          <w:sz w:val="18"/>
          <w:szCs w:val="18"/>
        </w:rPr>
        <w:t>Kokott</w:t>
      </w:r>
      <w:proofErr w:type="spellEnd"/>
      <w:r w:rsidRPr="009737A3">
        <w:rPr>
          <w:sz w:val="18"/>
          <w:szCs w:val="18"/>
        </w:rPr>
        <w:t xml:space="preserve"> in </w:t>
      </w:r>
      <w:proofErr w:type="spellStart"/>
      <w:r w:rsidRPr="009737A3">
        <w:rPr>
          <w:rStyle w:val="Istaknuto"/>
          <w:sz w:val="18"/>
          <w:szCs w:val="18"/>
        </w:rPr>
        <w:t>Schenker</w:t>
      </w:r>
      <w:proofErr w:type="spellEnd"/>
      <w:r w:rsidRPr="009737A3">
        <w:rPr>
          <w:rStyle w:val="Istaknuto"/>
          <w:sz w:val="18"/>
          <w:szCs w:val="18"/>
        </w:rPr>
        <w:t xml:space="preserve"> and Co</w:t>
      </w:r>
      <w:r w:rsidRPr="009737A3">
        <w:rPr>
          <w:sz w:val="18"/>
          <w:szCs w:val="18"/>
        </w:rPr>
        <w:t xml:space="preserve"> .</w:t>
      </w:r>
      <w:proofErr w:type="spellStart"/>
      <w:r w:rsidRPr="009737A3">
        <w:rPr>
          <w:sz w:val="18"/>
          <w:szCs w:val="18"/>
        </w:rPr>
        <w:t>Kokott</w:t>
      </w:r>
      <w:proofErr w:type="spellEnd"/>
      <w:r w:rsidRPr="009737A3">
        <w:rPr>
          <w:sz w:val="18"/>
          <w:szCs w:val="18"/>
        </w:rPr>
        <w:t xml:space="preserve"> equals restriction that are by their very nature incompatible with objectives of competition law, with hard core restrains as listed in Commission de </w:t>
      </w:r>
      <w:proofErr w:type="spellStart"/>
      <w:r w:rsidRPr="009737A3">
        <w:rPr>
          <w:sz w:val="18"/>
          <w:szCs w:val="18"/>
        </w:rPr>
        <w:t>minimisNitice</w:t>
      </w:r>
      <w:proofErr w:type="spellEnd"/>
    </w:p>
  </w:footnote>
  <w:footnote w:id="45">
    <w:p w:rsidR="005C6D74" w:rsidRPr="009737A3" w:rsidRDefault="005C6D74">
      <w:pPr>
        <w:pStyle w:val="Tekstfusnote"/>
        <w:rPr>
          <w:sz w:val="18"/>
          <w:szCs w:val="18"/>
          <w:lang w:val="hr-HR"/>
        </w:rPr>
      </w:pPr>
      <w:r w:rsidRPr="009737A3">
        <w:rPr>
          <w:rStyle w:val="Referencafusnote"/>
          <w:sz w:val="18"/>
          <w:szCs w:val="18"/>
        </w:rPr>
        <w:footnoteRef/>
      </w:r>
      <w:r w:rsidRPr="009737A3">
        <w:rPr>
          <w:sz w:val="18"/>
          <w:szCs w:val="18"/>
          <w:lang w:val="hr-HR"/>
        </w:rPr>
        <w:t xml:space="preserve"> </w:t>
      </w:r>
    </w:p>
  </w:footnote>
  <w:footnote w:id="46">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lang w:val="hr-HR"/>
        </w:rPr>
        <w:t>Radi se o kategorijama ugovornih klauzula za koja je sud utvrdio da imaju za cilj ograničenje tržišnog natjecanja.</w:t>
      </w:r>
    </w:p>
  </w:footnote>
  <w:footnote w:id="47">
    <w:p w:rsidR="0052549E" w:rsidRPr="009737A3" w:rsidRDefault="0052549E" w:rsidP="00BE1045">
      <w:pPr>
        <w:pStyle w:val="Tekstfusnote"/>
        <w:jc w:val="left"/>
        <w:rPr>
          <w:sz w:val="18"/>
          <w:szCs w:val="18"/>
        </w:rPr>
      </w:pPr>
      <w:r w:rsidRPr="009737A3">
        <w:rPr>
          <w:rStyle w:val="Referencafusnote"/>
          <w:sz w:val="18"/>
          <w:szCs w:val="18"/>
        </w:rPr>
        <w:footnoteRef/>
      </w:r>
      <w:proofErr w:type="spellStart"/>
      <w:r w:rsidRPr="009737A3">
        <w:rPr>
          <w:sz w:val="18"/>
          <w:szCs w:val="18"/>
        </w:rPr>
        <w:t>Op.n</w:t>
      </w:r>
      <w:proofErr w:type="spellEnd"/>
      <w:r w:rsidRPr="009737A3">
        <w:rPr>
          <w:sz w:val="18"/>
          <w:szCs w:val="18"/>
        </w:rPr>
        <w:t xml:space="preserve">. 3, </w:t>
      </w:r>
    </w:p>
  </w:footnote>
  <w:footnote w:id="48">
    <w:p w:rsidR="0052549E" w:rsidRPr="009737A3" w:rsidRDefault="0052549E" w:rsidP="00BE1045">
      <w:pPr>
        <w:pStyle w:val="Tekstfusnote"/>
        <w:jc w:val="left"/>
        <w:rPr>
          <w:sz w:val="18"/>
          <w:szCs w:val="18"/>
        </w:rPr>
      </w:pPr>
      <w:r w:rsidRPr="009737A3">
        <w:rPr>
          <w:rStyle w:val="Referencafusnote"/>
          <w:sz w:val="18"/>
          <w:szCs w:val="18"/>
        </w:rPr>
        <w:footnoteRef/>
      </w:r>
      <w:r w:rsidRPr="009737A3">
        <w:rPr>
          <w:sz w:val="18"/>
          <w:szCs w:val="18"/>
        </w:rPr>
        <w:t xml:space="preserve"> Ibid paragraph 140</w:t>
      </w:r>
    </w:p>
  </w:footnote>
  <w:footnote w:id="49">
    <w:p w:rsidR="0052549E" w:rsidRPr="009737A3" w:rsidRDefault="0052549E" w:rsidP="00BE1045">
      <w:pPr>
        <w:pStyle w:val="Tekstfusnote"/>
        <w:jc w:val="left"/>
        <w:rPr>
          <w:sz w:val="18"/>
          <w:szCs w:val="18"/>
        </w:rPr>
      </w:pPr>
      <w:r w:rsidRPr="009737A3">
        <w:rPr>
          <w:rStyle w:val="Referencafusnote"/>
          <w:sz w:val="18"/>
          <w:szCs w:val="18"/>
        </w:rPr>
        <w:footnoteRef/>
      </w:r>
      <w:r w:rsidRPr="009737A3">
        <w:rPr>
          <w:sz w:val="18"/>
          <w:szCs w:val="18"/>
        </w:rPr>
        <w:t xml:space="preserve"> Ibid </w:t>
      </w:r>
      <w:proofErr w:type="spellStart"/>
      <w:r w:rsidRPr="009737A3">
        <w:rPr>
          <w:sz w:val="18"/>
          <w:szCs w:val="18"/>
        </w:rPr>
        <w:t>paragraf</w:t>
      </w:r>
      <w:proofErr w:type="spellEnd"/>
    </w:p>
  </w:footnote>
  <w:footnote w:id="50">
    <w:p w:rsidR="009737A3" w:rsidRPr="009737A3" w:rsidRDefault="009737A3" w:rsidP="009737A3">
      <w:pPr>
        <w:autoSpaceDE w:val="0"/>
        <w:autoSpaceDN w:val="0"/>
        <w:adjustRightInd w:val="0"/>
        <w:spacing w:before="0" w:after="0" w:line="240" w:lineRule="auto"/>
        <w:jc w:val="left"/>
        <w:rPr>
          <w:sz w:val="18"/>
          <w:szCs w:val="18"/>
        </w:rPr>
      </w:pPr>
      <w:r>
        <w:rPr>
          <w:rStyle w:val="Referencafusnote"/>
        </w:rPr>
        <w:footnoteRef/>
      </w:r>
      <w:r>
        <w:t xml:space="preserve"> </w:t>
      </w:r>
      <w:proofErr w:type="spellStart"/>
      <w:r w:rsidRPr="009737A3">
        <w:rPr>
          <w:rFonts w:eastAsia="TimesNewRomanPSMT"/>
          <w:sz w:val="18"/>
          <w:szCs w:val="18"/>
          <w:lang w:val="hr-HR"/>
        </w:rPr>
        <w:t>Joined</w:t>
      </w:r>
      <w:proofErr w:type="spellEnd"/>
      <w:r w:rsidRPr="009737A3">
        <w:rPr>
          <w:rFonts w:eastAsia="TimesNewRomanPSMT"/>
          <w:sz w:val="18"/>
          <w:szCs w:val="18"/>
          <w:lang w:val="hr-HR"/>
        </w:rPr>
        <w:t xml:space="preserve"> </w:t>
      </w:r>
      <w:proofErr w:type="spellStart"/>
      <w:r w:rsidRPr="009737A3">
        <w:rPr>
          <w:rFonts w:eastAsia="TimesNewRomanPSMT"/>
          <w:sz w:val="18"/>
          <w:szCs w:val="18"/>
          <w:lang w:val="hr-HR"/>
        </w:rPr>
        <w:t>Cases</w:t>
      </w:r>
      <w:proofErr w:type="spellEnd"/>
      <w:r w:rsidRPr="009737A3">
        <w:rPr>
          <w:rFonts w:eastAsia="TimesNewRomanPSMT"/>
          <w:sz w:val="18"/>
          <w:szCs w:val="18"/>
          <w:lang w:val="hr-HR"/>
        </w:rPr>
        <w:t xml:space="preserve"> 29 &amp; 30/83, </w:t>
      </w:r>
      <w:proofErr w:type="spellStart"/>
      <w:r w:rsidRPr="009737A3">
        <w:rPr>
          <w:rFonts w:eastAsia="TimesNewRomanPS-ItalicMT"/>
          <w:i/>
          <w:iCs/>
          <w:sz w:val="18"/>
          <w:szCs w:val="18"/>
          <w:lang w:val="hr-HR"/>
        </w:rPr>
        <w:t>Compagnie</w:t>
      </w:r>
      <w:proofErr w:type="spellEnd"/>
      <w:r w:rsidRPr="009737A3">
        <w:rPr>
          <w:rFonts w:eastAsia="TimesNewRomanPS-ItalicMT"/>
          <w:i/>
          <w:iCs/>
          <w:sz w:val="18"/>
          <w:szCs w:val="18"/>
          <w:lang w:val="hr-HR"/>
        </w:rPr>
        <w:t xml:space="preserve"> </w:t>
      </w:r>
      <w:proofErr w:type="spellStart"/>
      <w:r w:rsidRPr="009737A3">
        <w:rPr>
          <w:rFonts w:eastAsia="TimesNewRomanPS-ItalicMT"/>
          <w:i/>
          <w:iCs/>
          <w:sz w:val="18"/>
          <w:szCs w:val="18"/>
          <w:lang w:val="hr-HR"/>
        </w:rPr>
        <w:t>Royale</w:t>
      </w:r>
      <w:proofErr w:type="spellEnd"/>
      <w:r w:rsidRPr="009737A3">
        <w:rPr>
          <w:rFonts w:eastAsia="TimesNewRomanPS-ItalicMT"/>
          <w:i/>
          <w:iCs/>
          <w:sz w:val="18"/>
          <w:szCs w:val="18"/>
          <w:lang w:val="hr-HR"/>
        </w:rPr>
        <w:t xml:space="preserve"> </w:t>
      </w:r>
      <w:proofErr w:type="spellStart"/>
      <w:r w:rsidRPr="009737A3">
        <w:rPr>
          <w:rFonts w:eastAsia="TimesNewRomanPS-ItalicMT"/>
          <w:i/>
          <w:iCs/>
          <w:sz w:val="18"/>
          <w:szCs w:val="18"/>
          <w:lang w:val="hr-HR"/>
        </w:rPr>
        <w:t>Asturienne</w:t>
      </w:r>
      <w:proofErr w:type="spellEnd"/>
      <w:r w:rsidRPr="009737A3">
        <w:rPr>
          <w:rFonts w:eastAsia="TimesNewRomanPS-ItalicMT"/>
          <w:i/>
          <w:iCs/>
          <w:sz w:val="18"/>
          <w:szCs w:val="18"/>
          <w:lang w:val="hr-HR"/>
        </w:rPr>
        <w:t xml:space="preserve"> </w:t>
      </w:r>
      <w:proofErr w:type="spellStart"/>
      <w:r w:rsidRPr="009737A3">
        <w:rPr>
          <w:rFonts w:eastAsia="TimesNewRomanPS-ItalicMT"/>
          <w:i/>
          <w:iCs/>
          <w:sz w:val="18"/>
          <w:szCs w:val="18"/>
          <w:lang w:val="hr-HR"/>
        </w:rPr>
        <w:t>des</w:t>
      </w:r>
      <w:proofErr w:type="spellEnd"/>
      <w:r w:rsidRPr="009737A3">
        <w:rPr>
          <w:rFonts w:eastAsia="TimesNewRomanPS-ItalicMT"/>
          <w:i/>
          <w:iCs/>
          <w:sz w:val="18"/>
          <w:szCs w:val="18"/>
          <w:lang w:val="hr-HR"/>
        </w:rPr>
        <w:t xml:space="preserve"> </w:t>
      </w:r>
      <w:proofErr w:type="spellStart"/>
      <w:r w:rsidRPr="009737A3">
        <w:rPr>
          <w:rFonts w:eastAsia="TimesNewRomanPS-ItalicMT"/>
          <w:i/>
          <w:iCs/>
          <w:sz w:val="18"/>
          <w:szCs w:val="18"/>
          <w:lang w:val="hr-HR"/>
        </w:rPr>
        <w:t>Mines</w:t>
      </w:r>
      <w:proofErr w:type="spellEnd"/>
      <w:r w:rsidRPr="009737A3">
        <w:rPr>
          <w:rFonts w:eastAsia="TimesNewRomanPS-ItalicMT"/>
          <w:i/>
          <w:iCs/>
          <w:sz w:val="18"/>
          <w:szCs w:val="18"/>
          <w:lang w:val="hr-HR"/>
        </w:rPr>
        <w:t xml:space="preserve"> SA </w:t>
      </w:r>
      <w:proofErr w:type="spellStart"/>
      <w:r w:rsidRPr="009737A3">
        <w:rPr>
          <w:rFonts w:eastAsia="TimesNewRomanPS-ItalicMT"/>
          <w:i/>
          <w:iCs/>
          <w:sz w:val="18"/>
          <w:szCs w:val="18"/>
          <w:lang w:val="hr-HR"/>
        </w:rPr>
        <w:t>and</w:t>
      </w:r>
      <w:proofErr w:type="spellEnd"/>
      <w:r w:rsidRPr="009737A3">
        <w:rPr>
          <w:rFonts w:eastAsia="TimesNewRomanPS-ItalicMT"/>
          <w:i/>
          <w:iCs/>
          <w:sz w:val="18"/>
          <w:szCs w:val="18"/>
          <w:lang w:val="hr-HR"/>
        </w:rPr>
        <w:t xml:space="preserve"> </w:t>
      </w:r>
      <w:proofErr w:type="spellStart"/>
      <w:r w:rsidRPr="009737A3">
        <w:rPr>
          <w:rFonts w:eastAsia="TimesNewRomanPS-ItalicMT"/>
          <w:i/>
          <w:iCs/>
          <w:sz w:val="18"/>
          <w:szCs w:val="18"/>
          <w:lang w:val="hr-HR"/>
        </w:rPr>
        <w:t>Rheinzink</w:t>
      </w:r>
      <w:proofErr w:type="spellEnd"/>
      <w:r w:rsidRPr="009737A3">
        <w:rPr>
          <w:rFonts w:eastAsia="TimesNewRomanPS-ItalicMT"/>
          <w:i/>
          <w:iCs/>
          <w:sz w:val="18"/>
          <w:szCs w:val="18"/>
          <w:lang w:val="hr-HR"/>
        </w:rPr>
        <w:t xml:space="preserve"> </w:t>
      </w:r>
      <w:r w:rsidRPr="009737A3">
        <w:rPr>
          <w:rFonts w:eastAsia="TimesNewRomanPSMT"/>
          <w:sz w:val="18"/>
          <w:szCs w:val="18"/>
          <w:lang w:val="hr-HR"/>
        </w:rPr>
        <w:t xml:space="preserve">v. </w:t>
      </w:r>
      <w:proofErr w:type="spellStart"/>
      <w:r w:rsidRPr="009737A3">
        <w:rPr>
          <w:rFonts w:eastAsia="TimesNewRomanPS-ItalicMT"/>
          <w:i/>
          <w:iCs/>
          <w:sz w:val="18"/>
          <w:szCs w:val="18"/>
          <w:lang w:val="hr-HR"/>
        </w:rPr>
        <w:t>Commission</w:t>
      </w:r>
      <w:proofErr w:type="spellEnd"/>
      <w:r w:rsidRPr="009737A3">
        <w:rPr>
          <w:rFonts w:eastAsia="TimesNewRomanPSMT"/>
          <w:sz w:val="18"/>
          <w:szCs w:val="18"/>
          <w:lang w:val="hr-HR"/>
        </w:rPr>
        <w:t xml:space="preserve">, [1984] </w:t>
      </w:r>
      <w:proofErr w:type="spellStart"/>
      <w:r w:rsidRPr="009737A3">
        <w:rPr>
          <w:rFonts w:eastAsia="TimesNewRomanPSMT"/>
          <w:sz w:val="18"/>
          <w:szCs w:val="18"/>
          <w:lang w:val="hr-HR"/>
        </w:rPr>
        <w:t>ECR</w:t>
      </w:r>
      <w:proofErr w:type="spellEnd"/>
      <w:r w:rsidRPr="009737A3">
        <w:rPr>
          <w:rFonts w:eastAsia="TimesNewRomanPSMT"/>
          <w:sz w:val="18"/>
          <w:szCs w:val="18"/>
          <w:lang w:val="hr-HR"/>
        </w:rPr>
        <w:t xml:space="preserve"> 1679d </w:t>
      </w:r>
      <w:r w:rsidRPr="009737A3">
        <w:rPr>
          <w:rFonts w:eastAsia="TimesNewRomanPS-ItalicMT"/>
          <w:i/>
          <w:iCs/>
          <w:sz w:val="18"/>
          <w:szCs w:val="18"/>
          <w:lang w:val="hr-HR"/>
        </w:rPr>
        <w:t>§</w:t>
      </w:r>
      <w:r w:rsidRPr="009737A3">
        <w:rPr>
          <w:rFonts w:eastAsia="TimesNewRomanPSMT"/>
          <w:sz w:val="18"/>
          <w:szCs w:val="18"/>
          <w:lang w:val="hr-HR"/>
        </w:rPr>
        <w:t xml:space="preserve"> 26; </w:t>
      </w:r>
    </w:p>
  </w:footnote>
  <w:footnote w:id="51">
    <w:p w:rsidR="009737A3" w:rsidRPr="009737A3" w:rsidRDefault="009737A3">
      <w:pPr>
        <w:pStyle w:val="Tekstfusnote"/>
      </w:pPr>
      <w:r>
        <w:rPr>
          <w:rStyle w:val="Referencafusnote"/>
        </w:rPr>
        <w:footnoteRef/>
      </w:r>
      <w:r>
        <w:t xml:space="preserve"> </w:t>
      </w:r>
      <w:r w:rsidRPr="009737A3">
        <w:rPr>
          <w:rFonts w:eastAsia="TimesNewRomanPSMT"/>
          <w:sz w:val="18"/>
          <w:szCs w:val="18"/>
          <w:lang w:val="hr-HR"/>
        </w:rPr>
        <w:t xml:space="preserve">C-209/07, </w:t>
      </w:r>
      <w:proofErr w:type="spellStart"/>
      <w:r w:rsidRPr="009737A3">
        <w:rPr>
          <w:rFonts w:eastAsia="TimesNewRomanPS-ItalicMT"/>
          <w:i/>
          <w:iCs/>
          <w:sz w:val="18"/>
          <w:szCs w:val="18"/>
          <w:lang w:val="hr-HR"/>
        </w:rPr>
        <w:t>CompetitionAuthority</w:t>
      </w:r>
      <w:r w:rsidRPr="009737A3">
        <w:rPr>
          <w:rFonts w:eastAsia="TimesNewRomanPSMT"/>
          <w:sz w:val="18"/>
          <w:szCs w:val="18"/>
          <w:lang w:val="hr-HR"/>
        </w:rPr>
        <w:t>v</w:t>
      </w:r>
      <w:proofErr w:type="spellEnd"/>
      <w:r w:rsidRPr="009737A3">
        <w:rPr>
          <w:rFonts w:eastAsia="TimesNewRomanPSMT"/>
          <w:sz w:val="18"/>
          <w:szCs w:val="18"/>
          <w:lang w:val="hr-HR"/>
        </w:rPr>
        <w:t xml:space="preserve">. </w:t>
      </w:r>
      <w:proofErr w:type="spellStart"/>
      <w:r w:rsidRPr="009737A3">
        <w:rPr>
          <w:rFonts w:eastAsia="TimesNewRomanPS-ItalicMT"/>
          <w:i/>
          <w:iCs/>
          <w:sz w:val="18"/>
          <w:szCs w:val="18"/>
          <w:lang w:val="hr-HR"/>
        </w:rPr>
        <w:t>BeefIndustryDevelopmentSocietyandBarryBrothers</w:t>
      </w:r>
      <w:proofErr w:type="spellEnd"/>
      <w:r w:rsidRPr="009737A3">
        <w:rPr>
          <w:rFonts w:eastAsia="TimesNewRomanPSMT"/>
          <w:sz w:val="18"/>
          <w:szCs w:val="18"/>
          <w:lang w:val="hr-HR"/>
        </w:rPr>
        <w:t xml:space="preserve">, [2008] </w:t>
      </w:r>
      <w:proofErr w:type="spellStart"/>
      <w:r w:rsidRPr="009737A3">
        <w:rPr>
          <w:rFonts w:eastAsia="TimesNewRomanPSMT"/>
          <w:sz w:val="18"/>
          <w:szCs w:val="18"/>
          <w:lang w:val="hr-HR"/>
        </w:rPr>
        <w:t>ECR</w:t>
      </w:r>
      <w:proofErr w:type="spellEnd"/>
      <w:r w:rsidRPr="009737A3">
        <w:rPr>
          <w:rFonts w:eastAsia="TimesNewRomanPSMT"/>
          <w:sz w:val="18"/>
          <w:szCs w:val="18"/>
          <w:lang w:val="hr-HR"/>
        </w:rPr>
        <w:t xml:space="preserve"> I-8637§ 21;</w:t>
      </w:r>
    </w:p>
  </w:footnote>
  <w:footnote w:id="52">
    <w:p w:rsidR="0052549E" w:rsidRPr="009737A3" w:rsidRDefault="0052549E" w:rsidP="00BE1045">
      <w:pPr>
        <w:spacing w:after="200" w:line="240" w:lineRule="auto"/>
        <w:jc w:val="left"/>
        <w:rPr>
          <w:sz w:val="18"/>
          <w:szCs w:val="18"/>
        </w:rPr>
      </w:pPr>
      <w:r w:rsidRPr="009737A3">
        <w:rPr>
          <w:rStyle w:val="Referencafusnote"/>
          <w:sz w:val="18"/>
          <w:szCs w:val="18"/>
        </w:rPr>
        <w:footnoteRef/>
      </w:r>
      <w:proofErr w:type="spellStart"/>
      <w:r w:rsidRPr="009737A3">
        <w:rPr>
          <w:sz w:val="18"/>
          <w:szCs w:val="18"/>
        </w:rPr>
        <w:t>OkeogheneOdudu</w:t>
      </w:r>
      <w:proofErr w:type="spellEnd"/>
      <w:r w:rsidRPr="009737A3">
        <w:rPr>
          <w:sz w:val="18"/>
          <w:szCs w:val="18"/>
        </w:rPr>
        <w:t xml:space="preserve">, ‘Interpreting Article 81(1): Object as Subjective </w:t>
      </w:r>
      <w:proofErr w:type="gramStart"/>
      <w:r w:rsidRPr="009737A3">
        <w:rPr>
          <w:sz w:val="18"/>
          <w:szCs w:val="18"/>
        </w:rPr>
        <w:t>Intention’(</w:t>
      </w:r>
      <w:proofErr w:type="gramEnd"/>
      <w:r w:rsidRPr="009737A3">
        <w:rPr>
          <w:sz w:val="18"/>
          <w:szCs w:val="18"/>
        </w:rPr>
        <w:t>2001) 26 European Law Review 60-75; Interpreting Article 81(1): Demonstrating Restrictive Effect’ (2001) 26 European Law Review 261-274;  ‘Interpreting Article 81(1): The Object Requirement Revisited’(2001) 26 European Law Review 379-390.</w:t>
      </w:r>
    </w:p>
    <w:p w:rsidR="0052549E" w:rsidRPr="009737A3" w:rsidRDefault="0052549E" w:rsidP="00BE1045">
      <w:pPr>
        <w:pStyle w:val="Tekstfusnote"/>
        <w:jc w:val="left"/>
        <w:rPr>
          <w:sz w:val="18"/>
          <w:szCs w:val="18"/>
        </w:rPr>
      </w:pPr>
    </w:p>
  </w:footnote>
  <w:footnote w:id="53">
    <w:p w:rsidR="00363A4A" w:rsidRPr="009737A3" w:rsidRDefault="00363A4A">
      <w:pPr>
        <w:pStyle w:val="Tekstfusnote"/>
        <w:rPr>
          <w:sz w:val="18"/>
          <w:szCs w:val="18"/>
        </w:rPr>
      </w:pPr>
      <w:r w:rsidRPr="009737A3">
        <w:rPr>
          <w:rStyle w:val="Referencafusnote"/>
          <w:sz w:val="18"/>
          <w:szCs w:val="18"/>
        </w:rPr>
        <w:footnoteRef/>
      </w:r>
      <w:r w:rsidRPr="009737A3">
        <w:rPr>
          <w:sz w:val="18"/>
          <w:szCs w:val="18"/>
        </w:rPr>
        <w:t xml:space="preserve"> </w:t>
      </w:r>
      <w:r w:rsidR="00F22EF0" w:rsidRPr="009737A3">
        <w:rPr>
          <w:sz w:val="18"/>
          <w:szCs w:val="18"/>
          <w:lang w:val="hr-HR"/>
        </w:rPr>
        <w:t xml:space="preserve">T-1/89 </w:t>
      </w:r>
      <w:proofErr w:type="spellStart"/>
      <w:r w:rsidR="00F22EF0" w:rsidRPr="009737A3">
        <w:rPr>
          <w:i/>
          <w:iCs/>
          <w:sz w:val="18"/>
          <w:szCs w:val="18"/>
          <w:lang w:val="hr-HR"/>
        </w:rPr>
        <w:t>Rhône</w:t>
      </w:r>
      <w:proofErr w:type="spellEnd"/>
      <w:r w:rsidR="00F22EF0" w:rsidRPr="009737A3">
        <w:rPr>
          <w:i/>
          <w:iCs/>
          <w:sz w:val="18"/>
          <w:szCs w:val="18"/>
          <w:lang w:val="hr-HR"/>
        </w:rPr>
        <w:t>-</w:t>
      </w:r>
      <w:proofErr w:type="spellStart"/>
      <w:r w:rsidR="00F22EF0" w:rsidRPr="009737A3">
        <w:rPr>
          <w:i/>
          <w:iCs/>
          <w:sz w:val="18"/>
          <w:szCs w:val="18"/>
          <w:lang w:val="hr-HR"/>
        </w:rPr>
        <w:t>Poulenc</w:t>
      </w:r>
      <w:proofErr w:type="spellEnd"/>
      <w:r w:rsidR="00F22EF0" w:rsidRPr="009737A3">
        <w:rPr>
          <w:i/>
          <w:iCs/>
          <w:sz w:val="18"/>
          <w:szCs w:val="18"/>
          <w:lang w:val="hr-HR"/>
        </w:rPr>
        <w:t xml:space="preserve"> protiv Komisije </w:t>
      </w:r>
      <w:r w:rsidR="00F22EF0" w:rsidRPr="009737A3">
        <w:rPr>
          <w:sz w:val="18"/>
          <w:szCs w:val="18"/>
          <w:lang w:val="hr-HR"/>
        </w:rPr>
        <w:t xml:space="preserve">[1991] </w:t>
      </w:r>
      <w:proofErr w:type="spellStart"/>
      <w:r w:rsidR="00F22EF0" w:rsidRPr="009737A3">
        <w:rPr>
          <w:sz w:val="18"/>
          <w:szCs w:val="18"/>
          <w:lang w:val="hr-HR"/>
        </w:rPr>
        <w:t>ECR</w:t>
      </w:r>
      <w:proofErr w:type="spellEnd"/>
      <w:r w:rsidR="00F22EF0" w:rsidRPr="009737A3">
        <w:rPr>
          <w:sz w:val="18"/>
          <w:szCs w:val="18"/>
          <w:lang w:val="hr-HR"/>
        </w:rPr>
        <w:t xml:space="preserve"> II-869</w:t>
      </w:r>
    </w:p>
  </w:footnote>
  <w:footnote w:id="54">
    <w:p w:rsidR="00562D2E" w:rsidRPr="009737A3" w:rsidRDefault="00562D2E">
      <w:pPr>
        <w:pStyle w:val="Tekstfusnote"/>
        <w:rPr>
          <w:sz w:val="18"/>
          <w:szCs w:val="18"/>
          <w:lang w:val="hr-HR"/>
        </w:rPr>
      </w:pPr>
      <w:r w:rsidRPr="009737A3">
        <w:rPr>
          <w:rStyle w:val="Referencafusnote"/>
          <w:sz w:val="18"/>
          <w:szCs w:val="18"/>
        </w:rPr>
        <w:footnoteRef/>
      </w:r>
      <w:r w:rsidRPr="009737A3">
        <w:rPr>
          <w:sz w:val="18"/>
          <w:szCs w:val="18"/>
        </w:rPr>
        <w:t xml:space="preserve"> </w:t>
      </w:r>
      <w:r w:rsidRPr="009737A3">
        <w:rPr>
          <w:sz w:val="18"/>
          <w:szCs w:val="18"/>
          <w:lang w:val="hr-HR"/>
        </w:rPr>
        <w:t xml:space="preserve">Koji je u tom predmetu vršio </w:t>
      </w:r>
      <w:proofErr w:type="spellStart"/>
      <w:r w:rsidRPr="009737A3">
        <w:rPr>
          <w:sz w:val="18"/>
          <w:szCs w:val="18"/>
          <w:lang w:val="hr-HR"/>
        </w:rPr>
        <w:t>fuknciju</w:t>
      </w:r>
      <w:proofErr w:type="spellEnd"/>
      <w:r w:rsidRPr="009737A3">
        <w:rPr>
          <w:sz w:val="18"/>
          <w:szCs w:val="18"/>
          <w:lang w:val="hr-HR"/>
        </w:rPr>
        <w:t xml:space="preserve"> nezavisnog odvjetnika</w:t>
      </w:r>
    </w:p>
  </w:footnote>
  <w:footnote w:id="55">
    <w:p w:rsidR="00562D2E" w:rsidRPr="009737A3" w:rsidRDefault="00562D2E" w:rsidP="00363A4A">
      <w:pPr>
        <w:autoSpaceDE w:val="0"/>
        <w:autoSpaceDN w:val="0"/>
        <w:adjustRightInd w:val="0"/>
        <w:spacing w:before="0" w:after="0" w:line="240" w:lineRule="auto"/>
        <w:jc w:val="left"/>
        <w:rPr>
          <w:i/>
          <w:iCs/>
          <w:sz w:val="18"/>
          <w:szCs w:val="18"/>
          <w:lang w:val="hr-HR"/>
        </w:rPr>
      </w:pPr>
      <w:r w:rsidRPr="009737A3">
        <w:rPr>
          <w:rStyle w:val="Referencafusnote"/>
          <w:sz w:val="18"/>
          <w:szCs w:val="18"/>
        </w:rPr>
        <w:footnoteRef/>
      </w:r>
      <w:r w:rsidRPr="009737A3">
        <w:rPr>
          <w:sz w:val="18"/>
          <w:szCs w:val="18"/>
          <w:lang w:val="hr-HR"/>
        </w:rPr>
        <w:t xml:space="preserve"> </w:t>
      </w:r>
      <w:r w:rsidRPr="009737A3">
        <w:rPr>
          <w:sz w:val="18"/>
          <w:szCs w:val="18"/>
          <w:lang w:val="hr-HR"/>
        </w:rPr>
        <w:t xml:space="preserve">Prijedlog odluke suca </w:t>
      </w:r>
      <w:proofErr w:type="spellStart"/>
      <w:r w:rsidRPr="009737A3">
        <w:rPr>
          <w:sz w:val="18"/>
          <w:szCs w:val="18"/>
          <w:lang w:val="hr-HR"/>
        </w:rPr>
        <w:t>Vesterdorfa</w:t>
      </w:r>
      <w:proofErr w:type="spellEnd"/>
      <w:r w:rsidRPr="009737A3">
        <w:rPr>
          <w:sz w:val="18"/>
          <w:szCs w:val="18"/>
          <w:lang w:val="hr-HR"/>
        </w:rPr>
        <w:t xml:space="preserve"> u predmetu </w:t>
      </w:r>
      <w:r w:rsidR="00363A4A" w:rsidRPr="009737A3">
        <w:rPr>
          <w:sz w:val="18"/>
          <w:szCs w:val="18"/>
          <w:lang w:val="hr-HR"/>
        </w:rPr>
        <w:t xml:space="preserve">T-1/89 </w:t>
      </w:r>
      <w:proofErr w:type="spellStart"/>
      <w:r w:rsidR="00363A4A" w:rsidRPr="009737A3">
        <w:rPr>
          <w:i/>
          <w:iCs/>
          <w:sz w:val="18"/>
          <w:szCs w:val="18"/>
          <w:lang w:val="hr-HR"/>
        </w:rPr>
        <w:t>Rhône</w:t>
      </w:r>
      <w:proofErr w:type="spellEnd"/>
      <w:r w:rsidR="00363A4A" w:rsidRPr="009737A3">
        <w:rPr>
          <w:i/>
          <w:iCs/>
          <w:sz w:val="18"/>
          <w:szCs w:val="18"/>
          <w:lang w:val="hr-HR"/>
        </w:rPr>
        <w:t>-</w:t>
      </w:r>
      <w:proofErr w:type="spellStart"/>
      <w:r w:rsidR="00363A4A" w:rsidRPr="009737A3">
        <w:rPr>
          <w:i/>
          <w:iCs/>
          <w:sz w:val="18"/>
          <w:szCs w:val="18"/>
          <w:lang w:val="hr-HR"/>
        </w:rPr>
        <w:t>Poulenc</w:t>
      </w:r>
      <w:proofErr w:type="spellEnd"/>
      <w:r w:rsidR="00363A4A" w:rsidRPr="009737A3">
        <w:rPr>
          <w:i/>
          <w:iCs/>
          <w:sz w:val="18"/>
          <w:szCs w:val="18"/>
          <w:lang w:val="hr-HR"/>
        </w:rPr>
        <w:t xml:space="preserve"> protiv Komisije </w:t>
      </w:r>
      <w:r w:rsidR="00363A4A" w:rsidRPr="009737A3">
        <w:rPr>
          <w:sz w:val="18"/>
          <w:szCs w:val="18"/>
          <w:lang w:val="hr-HR"/>
        </w:rPr>
        <w:t xml:space="preserve">[1991] </w:t>
      </w:r>
      <w:proofErr w:type="spellStart"/>
      <w:r w:rsidR="00363A4A" w:rsidRPr="009737A3">
        <w:rPr>
          <w:sz w:val="18"/>
          <w:szCs w:val="18"/>
          <w:lang w:val="hr-HR"/>
        </w:rPr>
        <w:t>ECR</w:t>
      </w:r>
      <w:proofErr w:type="spellEnd"/>
      <w:r w:rsidR="00363A4A" w:rsidRPr="009737A3">
        <w:rPr>
          <w:sz w:val="18"/>
          <w:szCs w:val="18"/>
          <w:lang w:val="hr-HR"/>
        </w:rPr>
        <w:t xml:space="preserve"> II-869</w:t>
      </w:r>
      <w:r w:rsidR="00F22EF0" w:rsidRPr="009737A3">
        <w:rPr>
          <w:sz w:val="18"/>
          <w:szCs w:val="18"/>
          <w:lang w:val="hr-HR"/>
        </w:rPr>
        <w:t xml:space="preserve">, </w:t>
      </w:r>
      <w:r w:rsidRPr="009737A3">
        <w:rPr>
          <w:sz w:val="18"/>
          <w:szCs w:val="18"/>
          <w:lang w:val="hr-HR"/>
        </w:rPr>
        <w:t>948</w:t>
      </w:r>
    </w:p>
  </w:footnote>
  <w:footnote w:id="56">
    <w:p w:rsidR="0052549E" w:rsidRPr="009737A3" w:rsidRDefault="0052549E" w:rsidP="00BE1045">
      <w:pPr>
        <w:pStyle w:val="Tekstfusnote"/>
        <w:jc w:val="left"/>
        <w:rPr>
          <w:i/>
          <w:sz w:val="18"/>
          <w:szCs w:val="18"/>
          <w:lang w:val="hr-HR"/>
        </w:rPr>
      </w:pPr>
      <w:r w:rsidRPr="009737A3">
        <w:rPr>
          <w:rStyle w:val="Referencafusnote"/>
          <w:rFonts w:eastAsiaTheme="majorEastAsia"/>
          <w:sz w:val="18"/>
          <w:szCs w:val="18"/>
        </w:rPr>
        <w:footnoteRef/>
      </w:r>
      <w:r w:rsidRPr="009737A3">
        <w:rPr>
          <w:sz w:val="18"/>
          <w:szCs w:val="18"/>
          <w:lang w:val="hr-HR"/>
        </w:rPr>
        <w:t xml:space="preserve">C-551/03 P </w:t>
      </w:r>
      <w:r w:rsidRPr="009737A3">
        <w:rPr>
          <w:iCs/>
          <w:sz w:val="18"/>
          <w:szCs w:val="18"/>
          <w:lang w:val="hr-HR"/>
        </w:rPr>
        <w:t xml:space="preserve">General Motors </w:t>
      </w:r>
      <w:r w:rsidRPr="009737A3">
        <w:rPr>
          <w:sz w:val="18"/>
          <w:szCs w:val="18"/>
          <w:lang w:val="hr-HR"/>
        </w:rPr>
        <w:t xml:space="preserve">protiv Komisije [2006] </w:t>
      </w:r>
      <w:proofErr w:type="spellStart"/>
      <w:r w:rsidRPr="009737A3">
        <w:rPr>
          <w:sz w:val="18"/>
          <w:szCs w:val="18"/>
          <w:lang w:val="hr-HR"/>
        </w:rPr>
        <w:t>ECR</w:t>
      </w:r>
      <w:proofErr w:type="spellEnd"/>
      <w:r w:rsidRPr="009737A3">
        <w:rPr>
          <w:sz w:val="18"/>
          <w:szCs w:val="18"/>
          <w:lang w:val="hr-HR"/>
        </w:rPr>
        <w:t xml:space="preserve"> I-3173, §64; Isto stajalište je potvrđeno i u predmetu </w:t>
      </w:r>
      <w:proofErr w:type="spellStart"/>
      <w:r w:rsidRPr="009737A3">
        <w:rPr>
          <w:i/>
          <w:sz w:val="18"/>
          <w:szCs w:val="18"/>
          <w:lang w:val="hr-HR"/>
        </w:rPr>
        <w:t>BIDS</w:t>
      </w:r>
      <w:proofErr w:type="spellEnd"/>
      <w:r w:rsidRPr="009737A3">
        <w:rPr>
          <w:i/>
          <w:sz w:val="18"/>
          <w:szCs w:val="18"/>
          <w:lang w:val="hr-HR"/>
        </w:rPr>
        <w:t xml:space="preserve">, </w:t>
      </w:r>
      <w:proofErr w:type="spellStart"/>
      <w:r w:rsidRPr="009737A3">
        <w:rPr>
          <w:i/>
          <w:sz w:val="18"/>
          <w:szCs w:val="18"/>
          <w:lang w:val="hr-HR"/>
        </w:rPr>
        <w:t>citop</w:t>
      </w:r>
      <w:proofErr w:type="spellEnd"/>
      <w:r w:rsidRPr="009737A3">
        <w:rPr>
          <w:i/>
          <w:sz w:val="18"/>
          <w:szCs w:val="18"/>
          <w:lang w:val="hr-HR"/>
        </w:rPr>
        <w:t xml:space="preserve"> §21</w:t>
      </w:r>
    </w:p>
  </w:footnote>
  <w:footnote w:id="57">
    <w:p w:rsidR="00896FE0" w:rsidRPr="009737A3" w:rsidRDefault="00896FE0" w:rsidP="00BE1045">
      <w:pPr>
        <w:pStyle w:val="Tekstfusnote"/>
        <w:jc w:val="left"/>
        <w:rPr>
          <w:sz w:val="18"/>
          <w:szCs w:val="18"/>
          <w:lang w:val="hr-HR"/>
        </w:rPr>
      </w:pPr>
      <w:r w:rsidRPr="009737A3">
        <w:rPr>
          <w:rStyle w:val="Referencafusnote"/>
          <w:sz w:val="18"/>
          <w:szCs w:val="18"/>
        </w:rPr>
        <w:footnoteRef/>
      </w:r>
      <w:r w:rsidRPr="009737A3">
        <w:rPr>
          <w:sz w:val="18"/>
          <w:szCs w:val="18"/>
        </w:rPr>
        <w:t xml:space="preserve"> </w:t>
      </w:r>
      <w:proofErr w:type="spellStart"/>
      <w:r w:rsidRPr="009737A3">
        <w:rPr>
          <w:sz w:val="18"/>
          <w:szCs w:val="18"/>
          <w:lang w:val="hr-HR"/>
        </w:rPr>
        <w:t>Case</w:t>
      </w:r>
      <w:proofErr w:type="spellEnd"/>
      <w:r w:rsidRPr="009737A3">
        <w:rPr>
          <w:sz w:val="18"/>
          <w:szCs w:val="18"/>
          <w:lang w:val="hr-HR"/>
        </w:rPr>
        <w:t xml:space="preserve"> 27/87 </w:t>
      </w:r>
      <w:proofErr w:type="spellStart"/>
      <w:r w:rsidRPr="009737A3">
        <w:rPr>
          <w:i/>
          <w:iCs/>
          <w:sz w:val="18"/>
          <w:szCs w:val="18"/>
          <w:lang w:val="hr-HR"/>
        </w:rPr>
        <w:t>Erauw</w:t>
      </w:r>
      <w:proofErr w:type="spellEnd"/>
      <w:r w:rsidRPr="009737A3">
        <w:rPr>
          <w:i/>
          <w:iCs/>
          <w:sz w:val="18"/>
          <w:szCs w:val="18"/>
          <w:lang w:val="hr-HR"/>
        </w:rPr>
        <w:t>-</w:t>
      </w:r>
      <w:proofErr w:type="spellStart"/>
      <w:r w:rsidRPr="009737A3">
        <w:rPr>
          <w:i/>
          <w:iCs/>
          <w:sz w:val="18"/>
          <w:szCs w:val="18"/>
          <w:lang w:val="hr-HR"/>
        </w:rPr>
        <w:t>Jacquery</w:t>
      </w:r>
      <w:proofErr w:type="spellEnd"/>
      <w:r w:rsidRPr="009737A3">
        <w:rPr>
          <w:i/>
          <w:iCs/>
          <w:sz w:val="18"/>
          <w:szCs w:val="18"/>
          <w:lang w:val="hr-HR"/>
        </w:rPr>
        <w:t xml:space="preserve"> </w:t>
      </w:r>
      <w:proofErr w:type="spellStart"/>
      <w:r w:rsidRPr="009737A3">
        <w:rPr>
          <w:i/>
          <w:iCs/>
          <w:sz w:val="18"/>
          <w:szCs w:val="18"/>
          <w:lang w:val="hr-HR"/>
        </w:rPr>
        <w:t>Sprl</w:t>
      </w:r>
      <w:proofErr w:type="spellEnd"/>
      <w:r w:rsidRPr="009737A3">
        <w:rPr>
          <w:i/>
          <w:iCs/>
          <w:sz w:val="18"/>
          <w:szCs w:val="18"/>
          <w:lang w:val="hr-HR"/>
        </w:rPr>
        <w:t xml:space="preserve"> v </w:t>
      </w:r>
      <w:proofErr w:type="spellStart"/>
      <w:r w:rsidRPr="009737A3">
        <w:rPr>
          <w:i/>
          <w:iCs/>
          <w:sz w:val="18"/>
          <w:szCs w:val="18"/>
          <w:lang w:val="hr-HR"/>
        </w:rPr>
        <w:t>La</w:t>
      </w:r>
      <w:proofErr w:type="spellEnd"/>
      <w:r w:rsidRPr="009737A3">
        <w:rPr>
          <w:i/>
          <w:iCs/>
          <w:sz w:val="18"/>
          <w:szCs w:val="18"/>
          <w:lang w:val="hr-HR"/>
        </w:rPr>
        <w:t xml:space="preserve"> </w:t>
      </w:r>
      <w:proofErr w:type="spellStart"/>
      <w:r w:rsidRPr="009737A3">
        <w:rPr>
          <w:i/>
          <w:iCs/>
          <w:sz w:val="18"/>
          <w:szCs w:val="18"/>
          <w:lang w:val="hr-HR"/>
        </w:rPr>
        <w:t>Hesbignonne</w:t>
      </w:r>
      <w:proofErr w:type="spellEnd"/>
      <w:r w:rsidRPr="009737A3">
        <w:rPr>
          <w:i/>
          <w:iCs/>
          <w:sz w:val="18"/>
          <w:szCs w:val="18"/>
          <w:lang w:val="hr-HR"/>
        </w:rPr>
        <w:t xml:space="preserve"> Societe </w:t>
      </w:r>
      <w:proofErr w:type="spellStart"/>
      <w:r w:rsidRPr="009737A3">
        <w:rPr>
          <w:i/>
          <w:iCs/>
          <w:sz w:val="18"/>
          <w:szCs w:val="18"/>
          <w:lang w:val="hr-HR"/>
        </w:rPr>
        <w:t>Cooperative</w:t>
      </w:r>
      <w:proofErr w:type="spellEnd"/>
      <w:r w:rsidRPr="009737A3">
        <w:rPr>
          <w:i/>
          <w:iCs/>
          <w:sz w:val="18"/>
          <w:szCs w:val="18"/>
          <w:lang w:val="hr-HR"/>
        </w:rPr>
        <w:t xml:space="preserve"> </w:t>
      </w:r>
      <w:r w:rsidRPr="009737A3">
        <w:rPr>
          <w:sz w:val="18"/>
          <w:szCs w:val="18"/>
          <w:lang w:val="hr-HR"/>
        </w:rPr>
        <w:t xml:space="preserve">[1988] </w:t>
      </w:r>
      <w:proofErr w:type="spellStart"/>
      <w:r w:rsidRPr="009737A3">
        <w:rPr>
          <w:sz w:val="18"/>
          <w:szCs w:val="18"/>
          <w:lang w:val="hr-HR"/>
        </w:rPr>
        <w:t>ECR</w:t>
      </w:r>
      <w:proofErr w:type="spellEnd"/>
      <w:r w:rsidRPr="009737A3">
        <w:rPr>
          <w:sz w:val="18"/>
          <w:szCs w:val="18"/>
          <w:lang w:val="hr-HR"/>
        </w:rPr>
        <w:t xml:space="preserve"> 1919</w:t>
      </w:r>
    </w:p>
  </w:footnote>
  <w:footnote w:id="58">
    <w:p w:rsidR="00BE1045" w:rsidRPr="009737A3" w:rsidRDefault="00BE1045" w:rsidP="00BE1045">
      <w:pPr>
        <w:pStyle w:val="Tekstfusnote"/>
        <w:jc w:val="left"/>
        <w:rPr>
          <w:sz w:val="18"/>
          <w:szCs w:val="18"/>
          <w:lang w:val="it-IT"/>
        </w:rPr>
      </w:pPr>
      <w:r w:rsidRPr="009737A3">
        <w:rPr>
          <w:rStyle w:val="Referencafusnote"/>
          <w:sz w:val="18"/>
          <w:szCs w:val="18"/>
        </w:rPr>
        <w:footnoteRef/>
      </w:r>
      <w:r w:rsidRPr="009737A3">
        <w:rPr>
          <w:sz w:val="18"/>
          <w:szCs w:val="18"/>
          <w:lang w:val="hr-HR"/>
        </w:rPr>
        <w:t xml:space="preserve"> </w:t>
      </w:r>
      <w:hyperlink r:id="rId7" w:tgtFrame="_parent" w:history="1">
        <w:r w:rsidRPr="009737A3">
          <w:rPr>
            <w:rStyle w:val="Hiperveza"/>
            <w:rFonts w:eastAsiaTheme="majorEastAsia"/>
            <w:color w:val="auto"/>
            <w:sz w:val="18"/>
            <w:szCs w:val="18"/>
            <w:u w:val="none"/>
            <w:lang w:val="hr-HR"/>
          </w:rPr>
          <w:t xml:space="preserve">Uredba Europske komisije br. 772/2004 od 27. travnja 2004. o primjeni članka 81. </w:t>
        </w:r>
        <w:proofErr w:type="gramStart"/>
        <w:r w:rsidRPr="009737A3">
          <w:rPr>
            <w:rStyle w:val="Hiperveza"/>
            <w:rFonts w:eastAsiaTheme="majorEastAsia"/>
            <w:color w:val="auto"/>
            <w:sz w:val="18"/>
            <w:szCs w:val="18"/>
            <w:u w:val="none"/>
            <w:lang w:val="it-IT"/>
          </w:rPr>
          <w:t>(3</w:t>
        </w:r>
        <w:proofErr w:type="gramEnd"/>
        <w:r w:rsidRPr="009737A3">
          <w:rPr>
            <w:rStyle w:val="Hiperveza"/>
            <w:rFonts w:eastAsiaTheme="majorEastAsia"/>
            <w:color w:val="auto"/>
            <w:sz w:val="18"/>
            <w:szCs w:val="18"/>
            <w:u w:val="none"/>
            <w:lang w:val="it-IT"/>
          </w:rPr>
          <w:t xml:space="preserve">) </w:t>
        </w:r>
        <w:proofErr w:type="spellStart"/>
        <w:r w:rsidRPr="009737A3">
          <w:rPr>
            <w:rStyle w:val="Hiperveza"/>
            <w:rFonts w:eastAsiaTheme="majorEastAsia"/>
            <w:color w:val="auto"/>
            <w:sz w:val="18"/>
            <w:szCs w:val="18"/>
            <w:u w:val="none"/>
            <w:lang w:val="it-IT"/>
          </w:rPr>
          <w:t>Ugovora</w:t>
        </w:r>
        <w:proofErr w:type="spellEnd"/>
        <w:r w:rsidRPr="009737A3">
          <w:rPr>
            <w:rStyle w:val="Hiperveza"/>
            <w:rFonts w:eastAsiaTheme="majorEastAsia"/>
            <w:color w:val="auto"/>
            <w:sz w:val="18"/>
            <w:szCs w:val="18"/>
            <w:u w:val="none"/>
            <w:lang w:val="it-IT"/>
          </w:rPr>
          <w:t xml:space="preserve"> </w:t>
        </w:r>
        <w:proofErr w:type="spellStart"/>
        <w:r w:rsidRPr="009737A3">
          <w:rPr>
            <w:rStyle w:val="Hiperveza"/>
            <w:rFonts w:eastAsiaTheme="majorEastAsia"/>
            <w:color w:val="auto"/>
            <w:sz w:val="18"/>
            <w:szCs w:val="18"/>
            <w:u w:val="none"/>
            <w:lang w:val="it-IT"/>
          </w:rPr>
          <w:t>na</w:t>
        </w:r>
        <w:proofErr w:type="spellEnd"/>
        <w:r w:rsidRPr="009737A3">
          <w:rPr>
            <w:rStyle w:val="Hiperveza"/>
            <w:rFonts w:eastAsiaTheme="majorEastAsia"/>
            <w:color w:val="auto"/>
            <w:sz w:val="18"/>
            <w:szCs w:val="18"/>
            <w:u w:val="none"/>
            <w:lang w:val="it-IT"/>
          </w:rPr>
          <w:t xml:space="preserve"> </w:t>
        </w:r>
        <w:proofErr w:type="spellStart"/>
        <w:r w:rsidRPr="009737A3">
          <w:rPr>
            <w:rStyle w:val="Hiperveza"/>
            <w:rFonts w:eastAsiaTheme="majorEastAsia"/>
            <w:color w:val="auto"/>
            <w:sz w:val="18"/>
            <w:szCs w:val="18"/>
            <w:u w:val="none"/>
            <w:lang w:val="it-IT"/>
          </w:rPr>
          <w:t>kategorije</w:t>
        </w:r>
        <w:proofErr w:type="spellEnd"/>
        <w:r w:rsidRPr="009737A3">
          <w:rPr>
            <w:rStyle w:val="Hiperveza"/>
            <w:rFonts w:eastAsiaTheme="majorEastAsia"/>
            <w:color w:val="auto"/>
            <w:sz w:val="18"/>
            <w:szCs w:val="18"/>
            <w:u w:val="none"/>
            <w:lang w:val="it-IT"/>
          </w:rPr>
          <w:t xml:space="preserve"> </w:t>
        </w:r>
        <w:proofErr w:type="spellStart"/>
        <w:r w:rsidRPr="009737A3">
          <w:rPr>
            <w:rStyle w:val="Hiperveza"/>
            <w:rFonts w:eastAsiaTheme="majorEastAsia"/>
            <w:color w:val="auto"/>
            <w:sz w:val="18"/>
            <w:szCs w:val="18"/>
            <w:u w:val="none"/>
            <w:lang w:val="it-IT"/>
          </w:rPr>
          <w:t>sporazuma</w:t>
        </w:r>
        <w:proofErr w:type="spellEnd"/>
        <w:r w:rsidRPr="009737A3">
          <w:rPr>
            <w:rStyle w:val="Hiperveza"/>
            <w:rFonts w:eastAsiaTheme="majorEastAsia"/>
            <w:color w:val="auto"/>
            <w:sz w:val="18"/>
            <w:szCs w:val="18"/>
            <w:u w:val="none"/>
            <w:lang w:val="it-IT"/>
          </w:rPr>
          <w:t xml:space="preserve"> o </w:t>
        </w:r>
        <w:proofErr w:type="spellStart"/>
        <w:r w:rsidRPr="009737A3">
          <w:rPr>
            <w:rStyle w:val="Hiperveza"/>
            <w:rFonts w:eastAsiaTheme="majorEastAsia"/>
            <w:color w:val="auto"/>
            <w:sz w:val="18"/>
            <w:szCs w:val="18"/>
            <w:u w:val="none"/>
            <w:lang w:val="it-IT"/>
          </w:rPr>
          <w:t>transferu</w:t>
        </w:r>
        <w:proofErr w:type="spellEnd"/>
        <w:r w:rsidRPr="009737A3">
          <w:rPr>
            <w:rStyle w:val="Hiperveza"/>
            <w:rFonts w:eastAsiaTheme="majorEastAsia"/>
            <w:color w:val="auto"/>
            <w:sz w:val="18"/>
            <w:szCs w:val="18"/>
            <w:u w:val="none"/>
            <w:lang w:val="it-IT"/>
          </w:rPr>
          <w:t xml:space="preserve"> </w:t>
        </w:r>
        <w:proofErr w:type="spellStart"/>
        <w:r w:rsidRPr="009737A3">
          <w:rPr>
            <w:rStyle w:val="Hiperveza"/>
            <w:rFonts w:eastAsiaTheme="majorEastAsia"/>
            <w:color w:val="auto"/>
            <w:sz w:val="18"/>
            <w:szCs w:val="18"/>
            <w:u w:val="none"/>
            <w:lang w:val="it-IT"/>
          </w:rPr>
          <w:t>tehnologije</w:t>
        </w:r>
        <w:proofErr w:type="spellEnd"/>
      </w:hyperlink>
      <w:r w:rsidRPr="009737A3">
        <w:rPr>
          <w:sz w:val="18"/>
          <w:szCs w:val="18"/>
          <w:lang w:val="it-IT"/>
        </w:rPr>
        <w:t xml:space="preserve">  </w:t>
      </w:r>
      <w:proofErr w:type="spellStart"/>
      <w:r w:rsidRPr="009737A3">
        <w:rPr>
          <w:sz w:val="18"/>
          <w:szCs w:val="18"/>
          <w:lang w:val="it-IT"/>
        </w:rPr>
        <w:t>Službeni</w:t>
      </w:r>
      <w:proofErr w:type="spellEnd"/>
      <w:r w:rsidRPr="009737A3">
        <w:rPr>
          <w:sz w:val="18"/>
          <w:szCs w:val="18"/>
          <w:lang w:val="it-IT"/>
        </w:rPr>
        <w:t xml:space="preserve"> list L</w:t>
      </w:r>
      <w:r w:rsidRPr="009737A3">
        <w:rPr>
          <w:sz w:val="18"/>
          <w:szCs w:val="18"/>
          <w:lang w:val="it-IT"/>
        </w:rPr>
        <w:t xml:space="preserve"> 123, 27/04/2004 </w:t>
      </w:r>
    </w:p>
  </w:footnote>
  <w:footnote w:id="59">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rPr>
        <w:t xml:space="preserve">Case 42/84 </w:t>
      </w:r>
      <w:proofErr w:type="spellStart"/>
      <w:r w:rsidRPr="009737A3">
        <w:rPr>
          <w:i/>
          <w:iCs/>
          <w:sz w:val="18"/>
          <w:szCs w:val="18"/>
        </w:rPr>
        <w:t>Remia</w:t>
      </w:r>
      <w:proofErr w:type="spellEnd"/>
      <w:r w:rsidRPr="009737A3">
        <w:rPr>
          <w:i/>
          <w:iCs/>
          <w:sz w:val="18"/>
          <w:szCs w:val="18"/>
        </w:rPr>
        <w:t xml:space="preserve"> and Others</w:t>
      </w:r>
      <w:r w:rsidRPr="009737A3">
        <w:rPr>
          <w:sz w:val="18"/>
          <w:szCs w:val="18"/>
        </w:rPr>
        <w:t xml:space="preserve"> v </w:t>
      </w:r>
      <w:r w:rsidRPr="009737A3">
        <w:rPr>
          <w:i/>
          <w:iCs/>
          <w:sz w:val="18"/>
          <w:szCs w:val="18"/>
        </w:rPr>
        <w:t>Commission</w:t>
      </w:r>
      <w:r w:rsidRPr="009737A3">
        <w:rPr>
          <w:sz w:val="18"/>
          <w:szCs w:val="18"/>
        </w:rPr>
        <w:t xml:space="preserve"> [1985] </w:t>
      </w:r>
      <w:proofErr w:type="spellStart"/>
      <w:r w:rsidRPr="009737A3">
        <w:rPr>
          <w:sz w:val="18"/>
          <w:szCs w:val="18"/>
        </w:rPr>
        <w:t>ECR</w:t>
      </w:r>
      <w:proofErr w:type="spellEnd"/>
      <w:r w:rsidRPr="009737A3">
        <w:rPr>
          <w:sz w:val="18"/>
          <w:szCs w:val="18"/>
        </w:rPr>
        <w:t xml:space="preserve"> 2545</w:t>
      </w:r>
    </w:p>
  </w:footnote>
  <w:footnote w:id="60">
    <w:p w:rsidR="0052549E" w:rsidRPr="009737A3" w:rsidRDefault="0052549E" w:rsidP="00BE1045">
      <w:pPr>
        <w:pStyle w:val="Tekstfusnote"/>
        <w:jc w:val="left"/>
        <w:rPr>
          <w:sz w:val="18"/>
          <w:szCs w:val="18"/>
          <w:lang w:val="hr-HR"/>
        </w:rPr>
      </w:pPr>
      <w:r w:rsidRPr="009737A3">
        <w:rPr>
          <w:rStyle w:val="Referencafusnote"/>
          <w:sz w:val="18"/>
          <w:szCs w:val="18"/>
        </w:rPr>
        <w:footnoteRef/>
      </w:r>
      <w:proofErr w:type="spellStart"/>
      <w:r w:rsidRPr="009737A3">
        <w:rPr>
          <w:sz w:val="18"/>
          <w:szCs w:val="18"/>
          <w:lang w:val="hr-HR"/>
        </w:rPr>
        <w:t>Ibid</w:t>
      </w:r>
      <w:proofErr w:type="spellEnd"/>
      <w:r w:rsidRPr="009737A3">
        <w:rPr>
          <w:sz w:val="18"/>
          <w:szCs w:val="18"/>
          <w:lang w:val="hr-HR"/>
        </w:rPr>
        <w:t xml:space="preserve"> §20</w:t>
      </w:r>
    </w:p>
  </w:footnote>
  <w:footnote w:id="61">
    <w:p w:rsidR="0052549E" w:rsidRPr="009737A3" w:rsidRDefault="0052549E" w:rsidP="00BE1045">
      <w:pPr>
        <w:pStyle w:val="Tekstfusnote"/>
        <w:jc w:val="left"/>
        <w:rPr>
          <w:sz w:val="18"/>
          <w:szCs w:val="18"/>
          <w:lang w:val="hr-HR"/>
        </w:rPr>
      </w:pPr>
      <w:r w:rsidRPr="009737A3">
        <w:rPr>
          <w:rStyle w:val="Referencafusnote"/>
          <w:sz w:val="18"/>
          <w:szCs w:val="18"/>
        </w:rPr>
        <w:footnoteRef/>
      </w:r>
      <w:hyperlink r:id="rId8" w:tgtFrame="_blank" w:history="1">
        <w:proofErr w:type="spellStart"/>
        <w:r w:rsidRPr="009737A3">
          <w:rPr>
            <w:rStyle w:val="Hiperveza"/>
            <w:rFonts w:eastAsiaTheme="majorEastAsia"/>
            <w:color w:val="auto"/>
            <w:sz w:val="18"/>
            <w:szCs w:val="18"/>
            <w:u w:val="none"/>
            <w:lang w:val="hr-HR"/>
          </w:rPr>
          <w:t>Prijopćenje</w:t>
        </w:r>
        <w:proofErr w:type="spellEnd"/>
        <w:r w:rsidRPr="009737A3">
          <w:rPr>
            <w:rStyle w:val="Hiperveza"/>
            <w:rFonts w:eastAsiaTheme="majorEastAsia"/>
            <w:color w:val="auto"/>
            <w:sz w:val="18"/>
            <w:szCs w:val="18"/>
            <w:u w:val="none"/>
            <w:lang w:val="hr-HR"/>
          </w:rPr>
          <w:t xml:space="preserve"> Komisije - Obavijest - Smjernice za primjenu članka 81. stavka 3. Ugovora</w:t>
        </w:r>
      </w:hyperlink>
      <w:r w:rsidRPr="009737A3">
        <w:rPr>
          <w:sz w:val="18"/>
          <w:szCs w:val="18"/>
          <w:lang w:val="hr-HR"/>
        </w:rPr>
        <w:br/>
        <w:t>Službeni list C 101, 27/04/2004</w:t>
      </w:r>
    </w:p>
  </w:footnote>
  <w:footnote w:id="62">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lang w:val="hr-HR"/>
        </w:rPr>
        <w:t xml:space="preserve">Predmet C-399/93, </w:t>
      </w:r>
      <w:proofErr w:type="spellStart"/>
      <w:r w:rsidRPr="009737A3">
        <w:rPr>
          <w:sz w:val="18"/>
          <w:szCs w:val="18"/>
          <w:lang w:val="hr-HR"/>
        </w:rPr>
        <w:t>Lttikhuis</w:t>
      </w:r>
      <w:proofErr w:type="spellEnd"/>
      <w:r w:rsidRPr="009737A3">
        <w:rPr>
          <w:sz w:val="18"/>
          <w:szCs w:val="18"/>
          <w:lang w:val="hr-HR"/>
        </w:rPr>
        <w:t xml:space="preserve">, [1995] </w:t>
      </w:r>
      <w:proofErr w:type="spellStart"/>
      <w:r w:rsidRPr="009737A3">
        <w:rPr>
          <w:sz w:val="18"/>
          <w:szCs w:val="18"/>
          <w:lang w:val="hr-HR"/>
        </w:rPr>
        <w:t>ECR</w:t>
      </w:r>
      <w:proofErr w:type="spellEnd"/>
      <w:r w:rsidRPr="009737A3">
        <w:rPr>
          <w:sz w:val="18"/>
          <w:szCs w:val="18"/>
          <w:lang w:val="hr-HR"/>
        </w:rPr>
        <w:t xml:space="preserve"> I-4515, stavci 12. do 14 </w:t>
      </w:r>
    </w:p>
  </w:footnote>
  <w:footnote w:id="63">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lang w:val="hr-HR"/>
        </w:rPr>
        <w:t xml:space="preserve">Sličan argument su podnije stranke pred Komisijom u predmetu </w:t>
      </w:r>
      <w:r w:rsidRPr="009737A3">
        <w:rPr>
          <w:i/>
          <w:sz w:val="18"/>
          <w:szCs w:val="18"/>
          <w:lang w:val="hr-HR"/>
        </w:rPr>
        <w:t xml:space="preserve">, </w:t>
      </w:r>
      <w:r w:rsidRPr="009737A3">
        <w:rPr>
          <w:sz w:val="18"/>
          <w:szCs w:val="18"/>
          <w:lang w:val="hr-HR"/>
        </w:rPr>
        <w:t xml:space="preserve">Žalba je u tijeku pred Općim sudom </w:t>
      </w:r>
      <w:r w:rsidRPr="009737A3">
        <w:rPr>
          <w:bCs/>
          <w:sz w:val="18"/>
          <w:szCs w:val="18"/>
          <w:lang w:val="hr-HR"/>
        </w:rPr>
        <w:t>T-216/13</w:t>
      </w:r>
    </w:p>
  </w:footnote>
  <w:footnote w:id="64">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rPr>
        <w:t xml:space="preserve"> Case 42/84 </w:t>
      </w:r>
      <w:proofErr w:type="spellStart"/>
      <w:r w:rsidRPr="009737A3">
        <w:rPr>
          <w:i/>
          <w:iCs/>
          <w:sz w:val="18"/>
          <w:szCs w:val="18"/>
        </w:rPr>
        <w:t>Remia</w:t>
      </w:r>
      <w:proofErr w:type="spellEnd"/>
      <w:r w:rsidRPr="009737A3">
        <w:rPr>
          <w:i/>
          <w:iCs/>
          <w:sz w:val="18"/>
          <w:szCs w:val="18"/>
        </w:rPr>
        <w:t xml:space="preserve"> and Others</w:t>
      </w:r>
      <w:r w:rsidRPr="009737A3">
        <w:rPr>
          <w:sz w:val="18"/>
          <w:szCs w:val="18"/>
        </w:rPr>
        <w:t xml:space="preserve"> v </w:t>
      </w:r>
      <w:r w:rsidRPr="009737A3">
        <w:rPr>
          <w:i/>
          <w:iCs/>
          <w:sz w:val="18"/>
          <w:szCs w:val="18"/>
        </w:rPr>
        <w:t>Commission</w:t>
      </w:r>
      <w:r w:rsidRPr="009737A3">
        <w:rPr>
          <w:sz w:val="18"/>
          <w:szCs w:val="18"/>
        </w:rPr>
        <w:t xml:space="preserve"> [1985] </w:t>
      </w:r>
      <w:proofErr w:type="spellStart"/>
      <w:r w:rsidRPr="009737A3">
        <w:rPr>
          <w:sz w:val="18"/>
          <w:szCs w:val="18"/>
        </w:rPr>
        <w:t>ECR</w:t>
      </w:r>
      <w:proofErr w:type="spellEnd"/>
      <w:r w:rsidRPr="009737A3">
        <w:rPr>
          <w:sz w:val="18"/>
          <w:szCs w:val="18"/>
        </w:rPr>
        <w:t xml:space="preserve"> 2545, § 19</w:t>
      </w:r>
    </w:p>
  </w:footnote>
  <w:footnote w:id="65">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rPr>
        <w:t xml:space="preserve"> 161/84 </w:t>
      </w:r>
      <w:proofErr w:type="spellStart"/>
      <w:r w:rsidRPr="009737A3">
        <w:rPr>
          <w:i/>
          <w:iCs/>
          <w:sz w:val="18"/>
          <w:szCs w:val="18"/>
        </w:rPr>
        <w:t>Pronuptia</w:t>
      </w:r>
      <w:proofErr w:type="spellEnd"/>
      <w:r w:rsidRPr="009737A3">
        <w:rPr>
          <w:sz w:val="18"/>
          <w:szCs w:val="18"/>
        </w:rPr>
        <w:t xml:space="preserve">[1986] </w:t>
      </w:r>
      <w:proofErr w:type="spellStart"/>
      <w:r w:rsidRPr="009737A3">
        <w:rPr>
          <w:sz w:val="18"/>
          <w:szCs w:val="18"/>
        </w:rPr>
        <w:t>ECR</w:t>
      </w:r>
      <w:proofErr w:type="spellEnd"/>
      <w:r w:rsidRPr="009737A3">
        <w:rPr>
          <w:sz w:val="18"/>
          <w:szCs w:val="18"/>
        </w:rPr>
        <w:t xml:space="preserve"> 353, § 15</w:t>
      </w:r>
    </w:p>
  </w:footnote>
  <w:footnote w:id="66">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lang w:val="hr-HR" w:eastAsia="hr-HR"/>
        </w:rPr>
        <w:t xml:space="preserve">T-112/99 - M6 </w:t>
      </w:r>
      <w:proofErr w:type="spellStart"/>
      <w:r w:rsidRPr="009737A3">
        <w:rPr>
          <w:sz w:val="18"/>
          <w:szCs w:val="18"/>
          <w:lang w:val="hr-HR" w:eastAsia="hr-HR"/>
        </w:rPr>
        <w:t>and</w:t>
      </w:r>
      <w:proofErr w:type="spellEnd"/>
      <w:r w:rsidRPr="009737A3">
        <w:rPr>
          <w:sz w:val="18"/>
          <w:szCs w:val="18"/>
          <w:lang w:val="hr-HR" w:eastAsia="hr-HR"/>
        </w:rPr>
        <w:t> </w:t>
      </w:r>
      <w:proofErr w:type="spellStart"/>
      <w:r w:rsidRPr="009737A3">
        <w:rPr>
          <w:sz w:val="18"/>
          <w:szCs w:val="18"/>
          <w:lang w:val="hr-HR" w:eastAsia="hr-HR"/>
        </w:rPr>
        <w:t>Others</w:t>
      </w:r>
      <w:proofErr w:type="spellEnd"/>
      <w:r w:rsidRPr="009737A3">
        <w:rPr>
          <w:sz w:val="18"/>
          <w:szCs w:val="18"/>
          <w:lang w:val="hr-HR" w:eastAsia="hr-HR"/>
        </w:rPr>
        <w:t xml:space="preserve"> v </w:t>
      </w:r>
      <w:proofErr w:type="spellStart"/>
      <w:r w:rsidRPr="009737A3">
        <w:rPr>
          <w:sz w:val="18"/>
          <w:szCs w:val="18"/>
          <w:lang w:val="hr-HR" w:eastAsia="hr-HR"/>
        </w:rPr>
        <w:t>Commission</w:t>
      </w:r>
      <w:proofErr w:type="spellEnd"/>
      <w:r w:rsidRPr="009737A3">
        <w:rPr>
          <w:sz w:val="18"/>
          <w:szCs w:val="18"/>
          <w:lang w:val="hr-HR" w:eastAsia="hr-HR"/>
        </w:rPr>
        <w:t xml:space="preserve">, [2001] </w:t>
      </w:r>
      <w:proofErr w:type="spellStart"/>
      <w:r w:rsidRPr="009737A3">
        <w:rPr>
          <w:sz w:val="18"/>
          <w:szCs w:val="18"/>
          <w:lang w:val="hr-HR" w:eastAsia="hr-HR"/>
        </w:rPr>
        <w:t>ECR</w:t>
      </w:r>
      <w:r w:rsidRPr="009737A3">
        <w:rPr>
          <w:sz w:val="18"/>
          <w:szCs w:val="18"/>
          <w:lang w:val="hr-HR"/>
        </w:rPr>
        <w:t>II</w:t>
      </w:r>
      <w:proofErr w:type="spellEnd"/>
      <w:r w:rsidRPr="009737A3">
        <w:rPr>
          <w:sz w:val="18"/>
          <w:szCs w:val="18"/>
          <w:lang w:val="hr-HR"/>
        </w:rPr>
        <w:t xml:space="preserve">-02459 </w:t>
      </w:r>
      <w:r w:rsidRPr="009737A3">
        <w:rPr>
          <w:sz w:val="18"/>
          <w:szCs w:val="18"/>
        </w:rPr>
        <w:t>§109 i§121</w:t>
      </w:r>
    </w:p>
  </w:footnote>
  <w:footnote w:id="67">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rPr>
        <w:t xml:space="preserve"> Case 42/84 </w:t>
      </w:r>
      <w:proofErr w:type="spellStart"/>
      <w:r w:rsidRPr="009737A3">
        <w:rPr>
          <w:i/>
          <w:iCs/>
          <w:sz w:val="18"/>
          <w:szCs w:val="18"/>
        </w:rPr>
        <w:t>Remia</w:t>
      </w:r>
      <w:proofErr w:type="spellEnd"/>
      <w:r w:rsidRPr="009737A3">
        <w:rPr>
          <w:i/>
          <w:iCs/>
          <w:sz w:val="18"/>
          <w:szCs w:val="18"/>
        </w:rPr>
        <w:t xml:space="preserve"> and Others</w:t>
      </w:r>
      <w:r w:rsidRPr="009737A3">
        <w:rPr>
          <w:sz w:val="18"/>
          <w:szCs w:val="18"/>
        </w:rPr>
        <w:t xml:space="preserve"> v </w:t>
      </w:r>
      <w:r w:rsidRPr="009737A3">
        <w:rPr>
          <w:i/>
          <w:iCs/>
          <w:sz w:val="18"/>
          <w:szCs w:val="18"/>
        </w:rPr>
        <w:t>Commission</w:t>
      </w:r>
      <w:r w:rsidRPr="009737A3">
        <w:rPr>
          <w:sz w:val="18"/>
          <w:szCs w:val="18"/>
        </w:rPr>
        <w:t xml:space="preserve"> [1985] </w:t>
      </w:r>
      <w:proofErr w:type="spellStart"/>
      <w:r w:rsidRPr="009737A3">
        <w:rPr>
          <w:sz w:val="18"/>
          <w:szCs w:val="18"/>
        </w:rPr>
        <w:t>ECR</w:t>
      </w:r>
      <w:proofErr w:type="spellEnd"/>
      <w:r w:rsidRPr="009737A3">
        <w:rPr>
          <w:sz w:val="18"/>
          <w:szCs w:val="18"/>
        </w:rPr>
        <w:t xml:space="preserve"> 2545, § 19, §20</w:t>
      </w:r>
    </w:p>
  </w:footnote>
  <w:footnote w:id="68">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rFonts w:eastAsia="TimesNewRomanPSMT"/>
          <w:sz w:val="18"/>
          <w:szCs w:val="18"/>
          <w:lang w:val="hr-HR"/>
        </w:rPr>
        <w:t xml:space="preserve">C-209/07, </w:t>
      </w:r>
      <w:proofErr w:type="spellStart"/>
      <w:r w:rsidRPr="009737A3">
        <w:rPr>
          <w:rFonts w:eastAsia="TimesNewRomanPS-ItalicMT"/>
          <w:i/>
          <w:iCs/>
          <w:sz w:val="18"/>
          <w:szCs w:val="18"/>
          <w:lang w:val="hr-HR"/>
        </w:rPr>
        <w:t>CompetitionAuthority</w:t>
      </w:r>
      <w:r w:rsidRPr="009737A3">
        <w:rPr>
          <w:rFonts w:eastAsia="TimesNewRomanPSMT"/>
          <w:sz w:val="18"/>
          <w:szCs w:val="18"/>
          <w:lang w:val="hr-HR"/>
        </w:rPr>
        <w:t>v</w:t>
      </w:r>
      <w:proofErr w:type="spellEnd"/>
      <w:r w:rsidRPr="009737A3">
        <w:rPr>
          <w:rFonts w:eastAsia="TimesNewRomanPSMT"/>
          <w:sz w:val="18"/>
          <w:szCs w:val="18"/>
          <w:lang w:val="hr-HR"/>
        </w:rPr>
        <w:t xml:space="preserve">. </w:t>
      </w:r>
      <w:proofErr w:type="spellStart"/>
      <w:r w:rsidRPr="009737A3">
        <w:rPr>
          <w:rFonts w:eastAsia="TimesNewRomanPS-ItalicMT"/>
          <w:i/>
          <w:iCs/>
          <w:sz w:val="18"/>
          <w:szCs w:val="18"/>
          <w:lang w:val="hr-HR"/>
        </w:rPr>
        <w:t>BeefIndustryDevelopmentSocietyandBarryBrothers</w:t>
      </w:r>
      <w:proofErr w:type="spellEnd"/>
      <w:r w:rsidRPr="009737A3">
        <w:rPr>
          <w:rFonts w:eastAsia="TimesNewRomanPSMT"/>
          <w:sz w:val="18"/>
          <w:szCs w:val="18"/>
          <w:lang w:val="hr-HR"/>
        </w:rPr>
        <w:t xml:space="preserve">, [2008] </w:t>
      </w:r>
      <w:proofErr w:type="spellStart"/>
      <w:r w:rsidRPr="009737A3">
        <w:rPr>
          <w:rFonts w:eastAsia="TimesNewRomanPSMT"/>
          <w:sz w:val="18"/>
          <w:szCs w:val="18"/>
          <w:lang w:val="hr-HR"/>
        </w:rPr>
        <w:t>ECR</w:t>
      </w:r>
      <w:proofErr w:type="spellEnd"/>
      <w:r w:rsidRPr="009737A3">
        <w:rPr>
          <w:rFonts w:eastAsia="TimesNewRomanPSMT"/>
          <w:sz w:val="18"/>
          <w:szCs w:val="18"/>
          <w:lang w:val="hr-HR"/>
        </w:rPr>
        <w:t xml:space="preserve"> I-8637¸C-8/08, </w:t>
      </w:r>
      <w:r w:rsidRPr="009737A3">
        <w:rPr>
          <w:rFonts w:eastAsia="TimesNewRomanPS-ItalicMT"/>
          <w:i/>
          <w:iCs/>
          <w:sz w:val="18"/>
          <w:szCs w:val="18"/>
          <w:lang w:val="hr-HR"/>
        </w:rPr>
        <w:t>T-Mobile</w:t>
      </w:r>
      <w:r w:rsidRPr="009737A3">
        <w:rPr>
          <w:rFonts w:eastAsia="TimesNewRomanPSMT"/>
          <w:sz w:val="18"/>
          <w:szCs w:val="18"/>
          <w:lang w:val="hr-HR"/>
        </w:rPr>
        <w:t xml:space="preserve">, [2009] </w:t>
      </w:r>
      <w:proofErr w:type="spellStart"/>
      <w:r w:rsidRPr="009737A3">
        <w:rPr>
          <w:rFonts w:eastAsia="TimesNewRomanPSMT"/>
          <w:sz w:val="18"/>
          <w:szCs w:val="18"/>
          <w:lang w:val="hr-HR"/>
        </w:rPr>
        <w:t>ECR</w:t>
      </w:r>
      <w:proofErr w:type="spellEnd"/>
      <w:r w:rsidRPr="009737A3">
        <w:rPr>
          <w:rFonts w:eastAsia="TimesNewRomanPSMT"/>
          <w:sz w:val="18"/>
          <w:szCs w:val="18"/>
          <w:lang w:val="hr-HR"/>
        </w:rPr>
        <w:t xml:space="preserve"> I-4529</w:t>
      </w:r>
    </w:p>
  </w:footnote>
  <w:footnote w:id="69">
    <w:p w:rsidR="0052549E" w:rsidRPr="009737A3" w:rsidRDefault="0052549E" w:rsidP="00BE1045">
      <w:pPr>
        <w:pStyle w:val="Tekstfusnote"/>
        <w:jc w:val="left"/>
        <w:rPr>
          <w:sz w:val="18"/>
          <w:szCs w:val="18"/>
          <w:lang w:val="hr-HR"/>
        </w:rPr>
      </w:pPr>
      <w:r w:rsidRPr="009737A3">
        <w:rPr>
          <w:rStyle w:val="Referencafusnote"/>
          <w:sz w:val="18"/>
          <w:szCs w:val="18"/>
        </w:rPr>
        <w:footnoteRef/>
      </w:r>
      <w:proofErr w:type="spellStart"/>
      <w:r w:rsidRPr="009737A3">
        <w:rPr>
          <w:sz w:val="18"/>
          <w:szCs w:val="18"/>
          <w:lang w:val="hr-HR"/>
        </w:rPr>
        <w:t>Ibid</w:t>
      </w:r>
      <w:proofErr w:type="spellEnd"/>
      <w:r w:rsidRPr="009737A3">
        <w:rPr>
          <w:sz w:val="18"/>
          <w:szCs w:val="18"/>
          <w:lang w:val="hr-HR"/>
        </w:rPr>
        <w:t>§34</w:t>
      </w:r>
    </w:p>
  </w:footnote>
  <w:footnote w:id="70">
    <w:p w:rsidR="0052549E" w:rsidRPr="009737A3" w:rsidRDefault="0052549E" w:rsidP="00BE1045">
      <w:pPr>
        <w:spacing w:before="0" w:after="0" w:line="240" w:lineRule="auto"/>
        <w:jc w:val="left"/>
        <w:rPr>
          <w:sz w:val="18"/>
          <w:szCs w:val="18"/>
        </w:rPr>
      </w:pPr>
      <w:r w:rsidRPr="009737A3">
        <w:rPr>
          <w:rStyle w:val="Referencafusnote"/>
          <w:sz w:val="18"/>
          <w:szCs w:val="18"/>
        </w:rPr>
        <w:footnoteRef/>
      </w:r>
      <w:r w:rsidRPr="009737A3">
        <w:rPr>
          <w:sz w:val="18"/>
          <w:szCs w:val="18"/>
          <w:lang w:val="hr-HR"/>
        </w:rPr>
        <w:t xml:space="preserve"> </w:t>
      </w:r>
      <w:r w:rsidRPr="009737A3">
        <w:rPr>
          <w:sz w:val="18"/>
          <w:szCs w:val="18"/>
          <w:lang w:val="hr-HR"/>
        </w:rPr>
        <w:t xml:space="preserve">Za argumente u korist uloge ciljeva javnog interesa u primjeni članka 101 </w:t>
      </w:r>
      <w:proofErr w:type="spellStart"/>
      <w:r w:rsidRPr="009737A3">
        <w:rPr>
          <w:sz w:val="18"/>
          <w:szCs w:val="18"/>
          <w:lang w:val="hr-HR"/>
        </w:rPr>
        <w:t>UFEU</w:t>
      </w:r>
      <w:proofErr w:type="spellEnd"/>
      <w:r w:rsidRPr="009737A3">
        <w:rPr>
          <w:sz w:val="18"/>
          <w:szCs w:val="18"/>
          <w:lang w:val="hr-HR"/>
        </w:rPr>
        <w:t xml:space="preserve"> vidi: </w:t>
      </w:r>
      <w:proofErr w:type="spellStart"/>
      <w:r w:rsidRPr="009737A3">
        <w:rPr>
          <w:sz w:val="18"/>
          <w:szCs w:val="18"/>
        </w:rPr>
        <w:t>Townley</w:t>
      </w:r>
      <w:proofErr w:type="spellEnd"/>
      <w:r w:rsidRPr="009737A3">
        <w:rPr>
          <w:sz w:val="18"/>
          <w:szCs w:val="18"/>
        </w:rPr>
        <w:t xml:space="preserve">, Christopher, Is Anything More Important than Consumer Welfare (in Article 81 EC)? Reflections of a Community Lawyer (December 12, 2008). </w:t>
      </w:r>
      <w:proofErr w:type="gramStart"/>
      <w:r w:rsidRPr="009737A3">
        <w:rPr>
          <w:sz w:val="18"/>
          <w:szCs w:val="18"/>
        </w:rPr>
        <w:t>Cambridge Yearbook of European Legal Studies, Vol. 10, p. 345, 2008.</w:t>
      </w:r>
      <w:proofErr w:type="gramEnd"/>
      <w:r w:rsidRPr="009737A3">
        <w:rPr>
          <w:sz w:val="18"/>
          <w:szCs w:val="18"/>
        </w:rPr>
        <w:t xml:space="preserve"> Available at </w:t>
      </w:r>
      <w:proofErr w:type="spellStart"/>
      <w:r w:rsidRPr="009737A3">
        <w:rPr>
          <w:sz w:val="18"/>
          <w:szCs w:val="18"/>
        </w:rPr>
        <w:t>SSRN</w:t>
      </w:r>
      <w:proofErr w:type="spellEnd"/>
      <w:r w:rsidRPr="009737A3">
        <w:rPr>
          <w:sz w:val="18"/>
          <w:szCs w:val="18"/>
        </w:rPr>
        <w:t xml:space="preserve">: </w:t>
      </w:r>
      <w:hyperlink r:id="rId9" w:history="1">
        <w:r w:rsidRPr="009737A3">
          <w:rPr>
            <w:rStyle w:val="Hiperveza"/>
            <w:color w:val="auto"/>
            <w:sz w:val="18"/>
            <w:szCs w:val="18"/>
            <w:u w:val="none"/>
          </w:rPr>
          <w:t>http://ssrn.com/abstract=1358646</w:t>
        </w:r>
      </w:hyperlink>
      <w:r w:rsidRPr="009737A3">
        <w:rPr>
          <w:sz w:val="18"/>
          <w:szCs w:val="18"/>
        </w:rPr>
        <w:t xml:space="preserve">; </w:t>
      </w:r>
      <w:proofErr w:type="spellStart"/>
      <w:r w:rsidRPr="009737A3">
        <w:rPr>
          <w:sz w:val="18"/>
          <w:szCs w:val="18"/>
        </w:rPr>
        <w:t>Townley</w:t>
      </w:r>
      <w:proofErr w:type="spellEnd"/>
      <w:r w:rsidRPr="009737A3">
        <w:rPr>
          <w:sz w:val="18"/>
          <w:szCs w:val="18"/>
        </w:rPr>
        <w:t xml:space="preserve">, Christopher, Which Goals Count in Article 101 </w:t>
      </w:r>
      <w:proofErr w:type="spellStart"/>
      <w:r w:rsidRPr="009737A3">
        <w:rPr>
          <w:sz w:val="18"/>
          <w:szCs w:val="18"/>
        </w:rPr>
        <w:t>TFEU</w:t>
      </w:r>
      <w:proofErr w:type="spellEnd"/>
      <w:proofErr w:type="gramStart"/>
      <w:r w:rsidRPr="009737A3">
        <w:rPr>
          <w:sz w:val="18"/>
          <w:szCs w:val="18"/>
        </w:rPr>
        <w:t>?:</w:t>
      </w:r>
      <w:proofErr w:type="gramEnd"/>
      <w:r w:rsidRPr="009737A3">
        <w:rPr>
          <w:sz w:val="18"/>
          <w:szCs w:val="18"/>
        </w:rPr>
        <w:t xml:space="preserve"> Public Policy and its Discontents (July 25, 2011). </w:t>
      </w:r>
      <w:proofErr w:type="gramStart"/>
      <w:r w:rsidRPr="009737A3">
        <w:rPr>
          <w:sz w:val="18"/>
          <w:szCs w:val="18"/>
        </w:rPr>
        <w:t>European Competition Law Review, 2011.</w:t>
      </w:r>
      <w:proofErr w:type="gramEnd"/>
      <w:r w:rsidRPr="009737A3">
        <w:rPr>
          <w:sz w:val="18"/>
          <w:szCs w:val="18"/>
        </w:rPr>
        <w:t xml:space="preserve"> Available at </w:t>
      </w:r>
      <w:proofErr w:type="spellStart"/>
      <w:r w:rsidRPr="009737A3">
        <w:rPr>
          <w:sz w:val="18"/>
          <w:szCs w:val="18"/>
        </w:rPr>
        <w:t>SSRN</w:t>
      </w:r>
      <w:proofErr w:type="spellEnd"/>
      <w:r w:rsidRPr="009737A3">
        <w:rPr>
          <w:sz w:val="18"/>
          <w:szCs w:val="18"/>
        </w:rPr>
        <w:t xml:space="preserve">: http://ssrn.com/abstract=1894837za </w:t>
      </w:r>
      <w:proofErr w:type="spellStart"/>
      <w:r w:rsidRPr="009737A3">
        <w:rPr>
          <w:sz w:val="18"/>
          <w:szCs w:val="18"/>
        </w:rPr>
        <w:t>suprotno</w:t>
      </w:r>
      <w:proofErr w:type="spellEnd"/>
      <w:r w:rsidRPr="009737A3">
        <w:rPr>
          <w:sz w:val="18"/>
          <w:szCs w:val="18"/>
        </w:rPr>
        <w:t xml:space="preserve"> </w:t>
      </w:r>
      <w:proofErr w:type="spellStart"/>
      <w:r w:rsidRPr="009737A3">
        <w:rPr>
          <w:sz w:val="18"/>
          <w:szCs w:val="18"/>
        </w:rPr>
        <w:t>stajalište</w:t>
      </w:r>
      <w:proofErr w:type="spellEnd"/>
      <w:r w:rsidRPr="009737A3">
        <w:rPr>
          <w:sz w:val="18"/>
          <w:szCs w:val="18"/>
        </w:rPr>
        <w:t xml:space="preserve"> </w:t>
      </w:r>
      <w:proofErr w:type="spellStart"/>
      <w:r w:rsidRPr="009737A3">
        <w:rPr>
          <w:sz w:val="18"/>
          <w:szCs w:val="18"/>
        </w:rPr>
        <w:t>vidi</w:t>
      </w:r>
      <w:proofErr w:type="spellEnd"/>
      <w:r w:rsidRPr="009737A3">
        <w:rPr>
          <w:sz w:val="18"/>
          <w:szCs w:val="18"/>
        </w:rPr>
        <w:t xml:space="preserve"> </w:t>
      </w:r>
      <w:proofErr w:type="spellStart"/>
      <w:proofErr w:type="gramStart"/>
      <w:r w:rsidRPr="009737A3">
        <w:rPr>
          <w:sz w:val="18"/>
          <w:szCs w:val="18"/>
        </w:rPr>
        <w:t>Odudu</w:t>
      </w:r>
      <w:proofErr w:type="spellEnd"/>
      <w:r w:rsidRPr="009737A3">
        <w:rPr>
          <w:rStyle w:val="name"/>
          <w:rFonts w:eastAsiaTheme="majorEastAsia"/>
          <w:sz w:val="18"/>
          <w:szCs w:val="18"/>
        </w:rPr>
        <w:t xml:space="preserve"> ,</w:t>
      </w:r>
      <w:proofErr w:type="gramEnd"/>
      <w:r w:rsidRPr="009737A3">
        <w:rPr>
          <w:rStyle w:val="name"/>
          <w:rFonts w:eastAsiaTheme="majorEastAsia"/>
          <w:sz w:val="18"/>
          <w:szCs w:val="18"/>
        </w:rPr>
        <w:t xml:space="preserve"> </w:t>
      </w:r>
      <w:hyperlink r:id="rId10" w:history="1">
        <w:proofErr w:type="spellStart"/>
        <w:r w:rsidRPr="009737A3">
          <w:rPr>
            <w:rStyle w:val="Hiperveza"/>
            <w:color w:val="auto"/>
            <w:sz w:val="18"/>
            <w:szCs w:val="18"/>
            <w:u w:val="none"/>
          </w:rPr>
          <w:t>Okeoghene</w:t>
        </w:r>
        <w:proofErr w:type="spellEnd"/>
        <w:r w:rsidRPr="009737A3">
          <w:rPr>
            <w:rStyle w:val="Hiperveza"/>
            <w:color w:val="auto"/>
            <w:sz w:val="18"/>
            <w:szCs w:val="18"/>
            <w:u w:val="none"/>
          </w:rPr>
          <w:t xml:space="preserve"> </w:t>
        </w:r>
      </w:hyperlink>
      <w:r w:rsidRPr="009737A3">
        <w:rPr>
          <w:sz w:val="18"/>
          <w:szCs w:val="18"/>
        </w:rPr>
        <w:t xml:space="preserve">, Wider concerns of competition law, </w:t>
      </w:r>
      <w:r w:rsidRPr="009737A3">
        <w:rPr>
          <w:rStyle w:val="HTML-navod"/>
          <w:rFonts w:eastAsiaTheme="majorEastAsia"/>
          <w:sz w:val="18"/>
          <w:szCs w:val="18"/>
        </w:rPr>
        <w:t>Oxford J Legal Studies</w:t>
      </w:r>
      <w:r w:rsidRPr="009737A3">
        <w:rPr>
          <w:rStyle w:val="slug-pub-date"/>
          <w:i/>
          <w:iCs/>
          <w:sz w:val="18"/>
          <w:szCs w:val="18"/>
        </w:rPr>
        <w:t xml:space="preserve"> (2010) </w:t>
      </w:r>
      <w:r w:rsidRPr="009737A3">
        <w:rPr>
          <w:rStyle w:val="slug-vol"/>
          <w:i/>
          <w:iCs/>
          <w:sz w:val="18"/>
          <w:szCs w:val="18"/>
        </w:rPr>
        <w:t xml:space="preserve">30 </w:t>
      </w:r>
      <w:r w:rsidRPr="009737A3">
        <w:rPr>
          <w:rStyle w:val="slug-issue"/>
          <w:i/>
          <w:iCs/>
          <w:sz w:val="18"/>
          <w:szCs w:val="18"/>
        </w:rPr>
        <w:t xml:space="preserve">(3): </w:t>
      </w:r>
      <w:r w:rsidRPr="009737A3">
        <w:rPr>
          <w:rStyle w:val="slug-pages"/>
          <w:i/>
          <w:iCs/>
          <w:sz w:val="18"/>
          <w:szCs w:val="18"/>
        </w:rPr>
        <w:t>599-613.</w:t>
      </w:r>
    </w:p>
  </w:footnote>
  <w:footnote w:id="71">
    <w:p w:rsidR="0052549E" w:rsidRPr="009737A3" w:rsidRDefault="0052549E" w:rsidP="00BE1045">
      <w:pPr>
        <w:autoSpaceDE w:val="0"/>
        <w:autoSpaceDN w:val="0"/>
        <w:adjustRightInd w:val="0"/>
        <w:spacing w:before="0" w:after="0" w:line="240" w:lineRule="auto"/>
        <w:jc w:val="left"/>
        <w:rPr>
          <w:rFonts w:eastAsia="TimesNewRomanPS-ItalicMT"/>
          <w:i/>
          <w:iCs/>
          <w:sz w:val="18"/>
          <w:szCs w:val="18"/>
          <w:lang w:val="hr-HR"/>
        </w:rPr>
      </w:pPr>
      <w:r w:rsidRPr="009737A3">
        <w:rPr>
          <w:rStyle w:val="Referencafusnote"/>
          <w:sz w:val="18"/>
          <w:szCs w:val="18"/>
        </w:rPr>
        <w:footnoteRef/>
      </w:r>
      <w:proofErr w:type="spellStart"/>
      <w:proofErr w:type="gramStart"/>
      <w:r w:rsidRPr="009737A3">
        <w:rPr>
          <w:sz w:val="18"/>
          <w:szCs w:val="18"/>
        </w:rPr>
        <w:t>Predmet</w:t>
      </w:r>
      <w:proofErr w:type="spellEnd"/>
      <w:r w:rsidRPr="009737A3">
        <w:rPr>
          <w:rFonts w:eastAsia="TimesNewRomanPSMT"/>
          <w:sz w:val="18"/>
          <w:szCs w:val="18"/>
          <w:lang w:val="hr-HR"/>
        </w:rPr>
        <w:t xml:space="preserve">C-309/99, </w:t>
      </w:r>
      <w:proofErr w:type="spellStart"/>
      <w:r w:rsidRPr="009737A3">
        <w:rPr>
          <w:rFonts w:eastAsia="TimesNewRomanPS-ItalicMT"/>
          <w:i/>
          <w:iCs/>
          <w:sz w:val="18"/>
          <w:szCs w:val="18"/>
          <w:lang w:val="hr-HR"/>
        </w:rPr>
        <w:t>Wouters</w:t>
      </w:r>
      <w:r w:rsidRPr="009737A3">
        <w:rPr>
          <w:rFonts w:eastAsia="TimesNewRomanPSMT"/>
          <w:sz w:val="18"/>
          <w:szCs w:val="18"/>
          <w:lang w:val="hr-HR"/>
        </w:rPr>
        <w:t>v</w:t>
      </w:r>
      <w:proofErr w:type="spellEnd"/>
      <w:r w:rsidRPr="009737A3">
        <w:rPr>
          <w:rFonts w:eastAsia="TimesNewRomanPSMT"/>
          <w:sz w:val="18"/>
          <w:szCs w:val="18"/>
          <w:lang w:val="hr-HR"/>
        </w:rPr>
        <w:t>.</w:t>
      </w:r>
      <w:proofErr w:type="gramEnd"/>
      <w:r w:rsidRPr="009737A3">
        <w:rPr>
          <w:rFonts w:eastAsia="TimesNewRomanPSMT"/>
          <w:sz w:val="18"/>
          <w:szCs w:val="18"/>
          <w:lang w:val="hr-HR"/>
        </w:rPr>
        <w:t xml:space="preserve"> </w:t>
      </w:r>
      <w:proofErr w:type="spellStart"/>
      <w:r w:rsidRPr="009737A3">
        <w:rPr>
          <w:rFonts w:eastAsia="TimesNewRomanPS-ItalicMT"/>
          <w:i/>
          <w:iCs/>
          <w:sz w:val="18"/>
          <w:szCs w:val="18"/>
          <w:lang w:val="hr-HR"/>
        </w:rPr>
        <w:t>AlgemeneRaad</w:t>
      </w:r>
      <w:proofErr w:type="spellEnd"/>
      <w:r w:rsidRPr="009737A3">
        <w:rPr>
          <w:rFonts w:eastAsia="TimesNewRomanPS-ItalicMT"/>
          <w:i/>
          <w:iCs/>
          <w:sz w:val="18"/>
          <w:szCs w:val="18"/>
          <w:lang w:val="hr-HR"/>
        </w:rPr>
        <w:t xml:space="preserve"> van de </w:t>
      </w:r>
      <w:proofErr w:type="spellStart"/>
      <w:r w:rsidRPr="009737A3">
        <w:rPr>
          <w:rFonts w:eastAsia="TimesNewRomanPS-ItalicMT"/>
          <w:i/>
          <w:iCs/>
          <w:sz w:val="18"/>
          <w:szCs w:val="18"/>
          <w:lang w:val="hr-HR"/>
        </w:rPr>
        <w:t>NederlandscheOrde</w:t>
      </w:r>
      <w:proofErr w:type="spellEnd"/>
      <w:r w:rsidRPr="009737A3">
        <w:rPr>
          <w:rFonts w:eastAsia="TimesNewRomanPS-ItalicMT"/>
          <w:i/>
          <w:iCs/>
          <w:sz w:val="18"/>
          <w:szCs w:val="18"/>
          <w:lang w:val="hr-HR"/>
        </w:rPr>
        <w:t xml:space="preserve"> van </w:t>
      </w:r>
      <w:proofErr w:type="spellStart"/>
      <w:r w:rsidRPr="009737A3">
        <w:rPr>
          <w:rFonts w:eastAsia="TimesNewRomanPS-ItalicMT"/>
          <w:i/>
          <w:iCs/>
          <w:sz w:val="18"/>
          <w:szCs w:val="18"/>
          <w:lang w:val="hr-HR"/>
        </w:rPr>
        <w:t>Advocaten</w:t>
      </w:r>
      <w:proofErr w:type="spellEnd"/>
      <w:r w:rsidRPr="009737A3">
        <w:rPr>
          <w:rFonts w:eastAsia="TimesNewRomanPSMT"/>
          <w:sz w:val="18"/>
          <w:szCs w:val="18"/>
          <w:lang w:val="hr-HR"/>
        </w:rPr>
        <w:t xml:space="preserve">, [2002] </w:t>
      </w:r>
      <w:proofErr w:type="spellStart"/>
      <w:r w:rsidRPr="009737A3">
        <w:rPr>
          <w:rFonts w:eastAsia="TimesNewRomanPSMT"/>
          <w:sz w:val="18"/>
          <w:szCs w:val="18"/>
          <w:lang w:val="hr-HR"/>
        </w:rPr>
        <w:t>ECR</w:t>
      </w:r>
      <w:proofErr w:type="spellEnd"/>
      <w:r w:rsidRPr="009737A3">
        <w:rPr>
          <w:rFonts w:eastAsia="TimesNewRomanPSMT"/>
          <w:sz w:val="18"/>
          <w:szCs w:val="18"/>
          <w:lang w:val="hr-HR"/>
        </w:rPr>
        <w:t xml:space="preserve"> I-157</w:t>
      </w:r>
    </w:p>
  </w:footnote>
  <w:footnote w:id="72">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lang w:val="hr-HR"/>
        </w:rPr>
        <w:t xml:space="preserve">Dio autora (npr. </w:t>
      </w:r>
      <w:proofErr w:type="spellStart"/>
      <w:r w:rsidRPr="009737A3">
        <w:rPr>
          <w:sz w:val="18"/>
          <w:szCs w:val="18"/>
          <w:lang w:val="hr-HR"/>
        </w:rPr>
        <w:t>Whish</w:t>
      </w:r>
      <w:proofErr w:type="spellEnd"/>
      <w:r w:rsidRPr="009737A3">
        <w:rPr>
          <w:sz w:val="18"/>
          <w:szCs w:val="18"/>
          <w:lang w:val="hr-HR"/>
        </w:rPr>
        <w:t xml:space="preserve">, R., </w:t>
      </w:r>
      <w:proofErr w:type="spellStart"/>
      <w:r w:rsidRPr="009737A3">
        <w:rPr>
          <w:sz w:val="18"/>
          <w:szCs w:val="18"/>
          <w:lang w:val="hr-HR"/>
        </w:rPr>
        <w:t>Bailey</w:t>
      </w:r>
      <w:proofErr w:type="spellEnd"/>
      <w:r w:rsidRPr="009737A3">
        <w:rPr>
          <w:sz w:val="18"/>
          <w:szCs w:val="18"/>
          <w:lang w:val="hr-HR"/>
        </w:rPr>
        <w:t xml:space="preserve">, D., </w:t>
      </w:r>
      <w:proofErr w:type="spellStart"/>
      <w:r w:rsidRPr="009737A3">
        <w:rPr>
          <w:i/>
          <w:sz w:val="18"/>
          <w:szCs w:val="18"/>
          <w:lang w:val="hr-HR"/>
        </w:rPr>
        <w:t>Competitionlaw</w:t>
      </w:r>
      <w:proofErr w:type="spellEnd"/>
      <w:r w:rsidRPr="009737A3">
        <w:rPr>
          <w:i/>
          <w:sz w:val="18"/>
          <w:szCs w:val="18"/>
          <w:lang w:val="hr-HR"/>
        </w:rPr>
        <w:t xml:space="preserve">, </w:t>
      </w:r>
      <w:r w:rsidRPr="009737A3">
        <w:rPr>
          <w:sz w:val="18"/>
          <w:szCs w:val="18"/>
          <w:lang w:val="hr-HR"/>
        </w:rPr>
        <w:t xml:space="preserve">str 130) obrađuje predmet </w:t>
      </w:r>
      <w:proofErr w:type="spellStart"/>
      <w:r w:rsidRPr="009737A3">
        <w:rPr>
          <w:i/>
          <w:sz w:val="18"/>
          <w:szCs w:val="18"/>
          <w:lang w:val="hr-HR"/>
        </w:rPr>
        <w:t>Wouters</w:t>
      </w:r>
      <w:r w:rsidRPr="009737A3">
        <w:rPr>
          <w:sz w:val="18"/>
          <w:szCs w:val="18"/>
          <w:lang w:val="hr-HR"/>
        </w:rPr>
        <w:t>kontekstu</w:t>
      </w:r>
      <w:proofErr w:type="spellEnd"/>
      <w:r w:rsidRPr="009737A3">
        <w:rPr>
          <w:sz w:val="18"/>
          <w:szCs w:val="18"/>
          <w:lang w:val="hr-HR"/>
        </w:rPr>
        <w:t xml:space="preserve"> ograničenja po učinku</w:t>
      </w:r>
    </w:p>
  </w:footnote>
  <w:footnote w:id="73">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lang w:val="hr-HR"/>
        </w:rPr>
        <w:t xml:space="preserve">U </w:t>
      </w:r>
      <w:proofErr w:type="spellStart"/>
      <w:r w:rsidRPr="009737A3">
        <w:rPr>
          <w:sz w:val="18"/>
          <w:szCs w:val="18"/>
          <w:lang w:val="hr-HR"/>
        </w:rPr>
        <w:t>relevntnom</w:t>
      </w:r>
      <w:proofErr w:type="spellEnd"/>
      <w:r w:rsidRPr="009737A3">
        <w:rPr>
          <w:sz w:val="18"/>
          <w:szCs w:val="18"/>
          <w:lang w:val="hr-HR"/>
        </w:rPr>
        <w:t xml:space="preserve"> vremenu je bila primjenjiva Uredba Vijeća 17/62 koja je propisivala obvezu notifikacije </w:t>
      </w:r>
      <w:proofErr w:type="spellStart"/>
      <w:r w:rsidRPr="009737A3">
        <w:rPr>
          <w:sz w:val="18"/>
          <w:szCs w:val="18"/>
          <w:lang w:val="hr-HR"/>
        </w:rPr>
        <w:t>Komisji</w:t>
      </w:r>
      <w:proofErr w:type="spellEnd"/>
      <w:r w:rsidRPr="009737A3">
        <w:rPr>
          <w:sz w:val="18"/>
          <w:szCs w:val="18"/>
          <w:lang w:val="hr-HR"/>
        </w:rPr>
        <w:t xml:space="preserve">. No, </w:t>
      </w:r>
      <w:proofErr w:type="spellStart"/>
      <w:r w:rsidRPr="009737A3">
        <w:rPr>
          <w:sz w:val="18"/>
          <w:szCs w:val="18"/>
          <w:lang w:val="hr-HR"/>
        </w:rPr>
        <w:t>ravilnik</w:t>
      </w:r>
      <w:proofErr w:type="spellEnd"/>
      <w:r w:rsidRPr="009737A3">
        <w:rPr>
          <w:sz w:val="18"/>
          <w:szCs w:val="18"/>
          <w:lang w:val="hr-HR"/>
        </w:rPr>
        <w:t xml:space="preserve"> nije bio </w:t>
      </w:r>
      <w:proofErr w:type="spellStart"/>
      <w:r w:rsidRPr="009737A3">
        <w:rPr>
          <w:sz w:val="18"/>
          <w:szCs w:val="18"/>
          <w:lang w:val="hr-HR"/>
        </w:rPr>
        <w:t>notificiran</w:t>
      </w:r>
      <w:proofErr w:type="spellEnd"/>
      <w:r w:rsidRPr="009737A3">
        <w:rPr>
          <w:sz w:val="18"/>
          <w:szCs w:val="18"/>
          <w:lang w:val="hr-HR"/>
        </w:rPr>
        <w:t xml:space="preserve">, a nacionalni sud koji je uputio preliminarno pitanje nije bio ovlašten odlučivati o </w:t>
      </w:r>
      <w:proofErr w:type="spellStart"/>
      <w:r w:rsidRPr="009737A3">
        <w:rPr>
          <w:sz w:val="18"/>
          <w:szCs w:val="18"/>
          <w:lang w:val="hr-HR"/>
        </w:rPr>
        <w:t>primjenj</w:t>
      </w:r>
      <w:proofErr w:type="spellEnd"/>
      <w:r w:rsidRPr="009737A3">
        <w:rPr>
          <w:sz w:val="18"/>
          <w:szCs w:val="18"/>
          <w:lang w:val="hr-HR"/>
        </w:rPr>
        <w:t xml:space="preserve"> članka 101(3)</w:t>
      </w:r>
    </w:p>
  </w:footnote>
  <w:footnote w:id="74">
    <w:p w:rsidR="0052549E" w:rsidRPr="009737A3" w:rsidRDefault="0052549E" w:rsidP="00BE1045">
      <w:pPr>
        <w:pStyle w:val="Tekstfusnote"/>
        <w:jc w:val="left"/>
        <w:rPr>
          <w:sz w:val="18"/>
          <w:szCs w:val="18"/>
          <w:lang w:val="hr-HR"/>
        </w:rPr>
      </w:pPr>
      <w:r w:rsidRPr="009737A3">
        <w:rPr>
          <w:rStyle w:val="Referencafusnote"/>
          <w:sz w:val="18"/>
          <w:szCs w:val="18"/>
        </w:rPr>
        <w:footnoteRef/>
      </w:r>
      <w:proofErr w:type="spellStart"/>
      <w:proofErr w:type="gramStart"/>
      <w:r w:rsidRPr="009737A3">
        <w:rPr>
          <w:sz w:val="18"/>
          <w:szCs w:val="18"/>
        </w:rPr>
        <w:t>Predmet</w:t>
      </w:r>
      <w:proofErr w:type="spellEnd"/>
      <w:r w:rsidRPr="009737A3">
        <w:rPr>
          <w:rFonts w:eastAsia="TimesNewRomanPSMT"/>
          <w:sz w:val="18"/>
          <w:szCs w:val="18"/>
          <w:lang w:val="hr-HR"/>
        </w:rPr>
        <w:t xml:space="preserve">C-309/99, </w:t>
      </w:r>
      <w:proofErr w:type="spellStart"/>
      <w:r w:rsidRPr="009737A3">
        <w:rPr>
          <w:rFonts w:eastAsia="TimesNewRomanPS-ItalicMT"/>
          <w:i/>
          <w:iCs/>
          <w:sz w:val="18"/>
          <w:szCs w:val="18"/>
          <w:lang w:val="hr-HR"/>
        </w:rPr>
        <w:t>Wouters</w:t>
      </w:r>
      <w:r w:rsidRPr="009737A3">
        <w:rPr>
          <w:rFonts w:eastAsia="TimesNewRomanPSMT"/>
          <w:sz w:val="18"/>
          <w:szCs w:val="18"/>
          <w:lang w:val="hr-HR"/>
        </w:rPr>
        <w:t>v</w:t>
      </w:r>
      <w:proofErr w:type="spellEnd"/>
      <w:r w:rsidRPr="009737A3">
        <w:rPr>
          <w:rFonts w:eastAsia="TimesNewRomanPSMT"/>
          <w:sz w:val="18"/>
          <w:szCs w:val="18"/>
          <w:lang w:val="hr-HR"/>
        </w:rPr>
        <w:t>.</w:t>
      </w:r>
      <w:proofErr w:type="gramEnd"/>
      <w:r w:rsidRPr="009737A3">
        <w:rPr>
          <w:rFonts w:eastAsia="TimesNewRomanPSMT"/>
          <w:sz w:val="18"/>
          <w:szCs w:val="18"/>
          <w:lang w:val="hr-HR"/>
        </w:rPr>
        <w:t xml:space="preserve"> </w:t>
      </w:r>
      <w:proofErr w:type="spellStart"/>
      <w:r w:rsidRPr="009737A3">
        <w:rPr>
          <w:rFonts w:eastAsia="TimesNewRomanPS-ItalicMT"/>
          <w:i/>
          <w:iCs/>
          <w:sz w:val="18"/>
          <w:szCs w:val="18"/>
          <w:lang w:val="hr-HR"/>
        </w:rPr>
        <w:t>AlgemeneRaad</w:t>
      </w:r>
      <w:proofErr w:type="spellEnd"/>
      <w:r w:rsidRPr="009737A3">
        <w:rPr>
          <w:rFonts w:eastAsia="TimesNewRomanPS-ItalicMT"/>
          <w:i/>
          <w:iCs/>
          <w:sz w:val="18"/>
          <w:szCs w:val="18"/>
          <w:lang w:val="hr-HR"/>
        </w:rPr>
        <w:t xml:space="preserve"> van de </w:t>
      </w:r>
      <w:proofErr w:type="spellStart"/>
      <w:r w:rsidRPr="009737A3">
        <w:rPr>
          <w:rFonts w:eastAsia="TimesNewRomanPS-ItalicMT"/>
          <w:i/>
          <w:iCs/>
          <w:sz w:val="18"/>
          <w:szCs w:val="18"/>
          <w:lang w:val="hr-HR"/>
        </w:rPr>
        <w:t>NederlandscheOrde</w:t>
      </w:r>
      <w:proofErr w:type="spellEnd"/>
      <w:r w:rsidRPr="009737A3">
        <w:rPr>
          <w:rFonts w:eastAsia="TimesNewRomanPS-ItalicMT"/>
          <w:i/>
          <w:iCs/>
          <w:sz w:val="18"/>
          <w:szCs w:val="18"/>
          <w:lang w:val="hr-HR"/>
        </w:rPr>
        <w:t xml:space="preserve"> van </w:t>
      </w:r>
      <w:proofErr w:type="spellStart"/>
      <w:r w:rsidRPr="009737A3">
        <w:rPr>
          <w:rFonts w:eastAsia="TimesNewRomanPS-ItalicMT"/>
          <w:i/>
          <w:iCs/>
          <w:sz w:val="18"/>
          <w:szCs w:val="18"/>
          <w:lang w:val="hr-HR"/>
        </w:rPr>
        <w:t>Advocate</w:t>
      </w:r>
      <w:proofErr w:type="spellEnd"/>
      <w:r w:rsidRPr="009737A3">
        <w:rPr>
          <w:rFonts w:eastAsia="TimesNewRomanPS-ItalicMT"/>
          <w:i/>
          <w:iCs/>
          <w:sz w:val="18"/>
          <w:szCs w:val="18"/>
          <w:lang w:val="hr-HR"/>
        </w:rPr>
        <w:t xml:space="preserve">, </w:t>
      </w:r>
      <w:proofErr w:type="spellStart"/>
      <w:r w:rsidRPr="009737A3">
        <w:rPr>
          <w:rFonts w:eastAsia="TimesNewRomanPS-ItalicMT"/>
          <w:i/>
          <w:iCs/>
          <w:sz w:val="18"/>
          <w:szCs w:val="18"/>
          <w:lang w:val="hr-HR"/>
        </w:rPr>
        <w:t>op.n</w:t>
      </w:r>
      <w:proofErr w:type="spellEnd"/>
      <w:r w:rsidRPr="009737A3">
        <w:rPr>
          <w:rFonts w:eastAsia="TimesNewRomanPS-ItalicMT"/>
          <w:i/>
          <w:iCs/>
          <w:sz w:val="18"/>
          <w:szCs w:val="18"/>
          <w:lang w:val="hr-HR"/>
        </w:rPr>
        <w:t xml:space="preserve"> 51,</w:t>
      </w:r>
      <w:r w:rsidRPr="009737A3">
        <w:rPr>
          <w:sz w:val="18"/>
          <w:szCs w:val="18"/>
          <w:lang w:val="hr-HR"/>
        </w:rPr>
        <w:t xml:space="preserve"> §97</w:t>
      </w:r>
    </w:p>
  </w:footnote>
  <w:footnote w:id="75">
    <w:p w:rsidR="0052549E" w:rsidRPr="009737A3" w:rsidRDefault="0052549E" w:rsidP="00BE1045">
      <w:pPr>
        <w:pStyle w:val="Tekstfusnote"/>
        <w:jc w:val="left"/>
        <w:rPr>
          <w:sz w:val="18"/>
          <w:szCs w:val="18"/>
          <w:lang w:val="hr-HR"/>
        </w:rPr>
      </w:pPr>
      <w:r w:rsidRPr="009737A3">
        <w:rPr>
          <w:rStyle w:val="Referencafusnote"/>
          <w:sz w:val="18"/>
          <w:szCs w:val="18"/>
        </w:rPr>
        <w:footnoteRef/>
      </w:r>
      <w:proofErr w:type="spellStart"/>
      <w:r w:rsidRPr="009737A3">
        <w:rPr>
          <w:sz w:val="18"/>
          <w:szCs w:val="18"/>
          <w:lang w:val="hr-HR"/>
        </w:rPr>
        <w:t>Ibid</w:t>
      </w:r>
      <w:proofErr w:type="spellEnd"/>
      <w:r w:rsidRPr="009737A3">
        <w:rPr>
          <w:sz w:val="18"/>
          <w:szCs w:val="18"/>
          <w:lang w:val="hr-HR"/>
        </w:rPr>
        <w:t xml:space="preserve"> §98</w:t>
      </w:r>
    </w:p>
  </w:footnote>
  <w:footnote w:id="76">
    <w:p w:rsidR="0052549E" w:rsidRPr="009737A3" w:rsidRDefault="0052549E" w:rsidP="00BE1045">
      <w:pPr>
        <w:pStyle w:val="Tekstfusnote"/>
        <w:jc w:val="left"/>
        <w:rPr>
          <w:sz w:val="18"/>
          <w:szCs w:val="18"/>
          <w:lang w:val="hr-HR"/>
        </w:rPr>
      </w:pPr>
      <w:r w:rsidRPr="009737A3">
        <w:rPr>
          <w:rStyle w:val="Referencafusnote"/>
          <w:sz w:val="18"/>
          <w:szCs w:val="18"/>
        </w:rPr>
        <w:footnoteRef/>
      </w:r>
      <w:proofErr w:type="spellStart"/>
      <w:r w:rsidRPr="009737A3">
        <w:rPr>
          <w:sz w:val="18"/>
          <w:szCs w:val="18"/>
          <w:lang w:val="hr-HR"/>
        </w:rPr>
        <w:t>Ibid</w:t>
      </w:r>
      <w:proofErr w:type="spellEnd"/>
      <w:r w:rsidRPr="009737A3">
        <w:rPr>
          <w:sz w:val="18"/>
          <w:szCs w:val="18"/>
          <w:lang w:val="hr-HR"/>
        </w:rPr>
        <w:t xml:space="preserve"> §109</w:t>
      </w:r>
    </w:p>
  </w:footnote>
  <w:footnote w:id="77">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lang w:val="hr-HR" w:eastAsia="hr-HR"/>
        </w:rPr>
        <w:t xml:space="preserve">T-112/99 - M6 </w:t>
      </w:r>
      <w:proofErr w:type="spellStart"/>
      <w:r w:rsidRPr="009737A3">
        <w:rPr>
          <w:sz w:val="18"/>
          <w:szCs w:val="18"/>
          <w:lang w:val="hr-HR" w:eastAsia="hr-HR"/>
        </w:rPr>
        <w:t>and</w:t>
      </w:r>
      <w:proofErr w:type="spellEnd"/>
      <w:r w:rsidRPr="009737A3">
        <w:rPr>
          <w:sz w:val="18"/>
          <w:szCs w:val="18"/>
          <w:lang w:val="hr-HR" w:eastAsia="hr-HR"/>
        </w:rPr>
        <w:t> </w:t>
      </w:r>
      <w:proofErr w:type="spellStart"/>
      <w:r w:rsidRPr="009737A3">
        <w:rPr>
          <w:sz w:val="18"/>
          <w:szCs w:val="18"/>
          <w:lang w:val="hr-HR" w:eastAsia="hr-HR"/>
        </w:rPr>
        <w:t>Others</w:t>
      </w:r>
      <w:proofErr w:type="spellEnd"/>
      <w:r w:rsidRPr="009737A3">
        <w:rPr>
          <w:sz w:val="18"/>
          <w:szCs w:val="18"/>
          <w:lang w:val="hr-HR" w:eastAsia="hr-HR"/>
        </w:rPr>
        <w:t xml:space="preserve"> v </w:t>
      </w:r>
      <w:proofErr w:type="spellStart"/>
      <w:r w:rsidRPr="009737A3">
        <w:rPr>
          <w:sz w:val="18"/>
          <w:szCs w:val="18"/>
          <w:lang w:val="hr-HR" w:eastAsia="hr-HR"/>
        </w:rPr>
        <w:t>Commission</w:t>
      </w:r>
      <w:proofErr w:type="spellEnd"/>
      <w:r w:rsidRPr="009737A3">
        <w:rPr>
          <w:sz w:val="18"/>
          <w:szCs w:val="18"/>
          <w:lang w:val="hr-HR" w:eastAsia="hr-HR"/>
        </w:rPr>
        <w:t xml:space="preserve">, [2001] </w:t>
      </w:r>
      <w:proofErr w:type="spellStart"/>
      <w:r w:rsidRPr="009737A3">
        <w:rPr>
          <w:sz w:val="18"/>
          <w:szCs w:val="18"/>
          <w:lang w:val="hr-HR" w:eastAsia="hr-HR"/>
        </w:rPr>
        <w:t>ECR</w:t>
      </w:r>
      <w:r w:rsidRPr="009737A3">
        <w:rPr>
          <w:sz w:val="18"/>
          <w:szCs w:val="18"/>
          <w:lang w:val="hr-HR"/>
        </w:rPr>
        <w:t>II</w:t>
      </w:r>
      <w:proofErr w:type="spellEnd"/>
      <w:r w:rsidRPr="009737A3">
        <w:rPr>
          <w:sz w:val="18"/>
          <w:szCs w:val="18"/>
          <w:lang w:val="hr-HR"/>
        </w:rPr>
        <w:t>-02459</w:t>
      </w:r>
    </w:p>
    <w:p w:rsidR="0052549E" w:rsidRPr="009737A3" w:rsidRDefault="0052549E" w:rsidP="00BE1045">
      <w:pPr>
        <w:pStyle w:val="Tekstfusnote"/>
        <w:jc w:val="left"/>
        <w:rPr>
          <w:sz w:val="18"/>
          <w:szCs w:val="18"/>
          <w:lang w:val="hr-HR"/>
        </w:rPr>
      </w:pPr>
    </w:p>
  </w:footnote>
  <w:footnote w:id="78">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lang w:val="hr-HR"/>
        </w:rPr>
        <w:t>Predmet 33/74 1974 [</w:t>
      </w:r>
      <w:proofErr w:type="spellStart"/>
      <w:r w:rsidRPr="009737A3">
        <w:rPr>
          <w:sz w:val="18"/>
          <w:szCs w:val="18"/>
          <w:lang w:val="hr-HR"/>
        </w:rPr>
        <w:t>ECR</w:t>
      </w:r>
      <w:proofErr w:type="spellEnd"/>
      <w:r w:rsidRPr="009737A3">
        <w:rPr>
          <w:sz w:val="18"/>
          <w:szCs w:val="18"/>
          <w:lang w:val="hr-HR"/>
        </w:rPr>
        <w:t>] 1299</w:t>
      </w:r>
    </w:p>
  </w:footnote>
  <w:footnote w:id="79">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lang w:val="hr-HR"/>
        </w:rPr>
        <w:t xml:space="preserve">Predmet C-1/12 </w:t>
      </w:r>
      <w:proofErr w:type="spellStart"/>
      <w:r w:rsidRPr="009737A3">
        <w:rPr>
          <w:i/>
          <w:sz w:val="18"/>
          <w:szCs w:val="18"/>
          <w:lang w:val="hr-HR"/>
        </w:rPr>
        <w:t>OrdemdosTécnicosOficiais</w:t>
      </w:r>
      <w:proofErr w:type="spellEnd"/>
      <w:r w:rsidRPr="009737A3">
        <w:rPr>
          <w:i/>
          <w:sz w:val="18"/>
          <w:szCs w:val="18"/>
          <w:lang w:val="hr-HR"/>
        </w:rPr>
        <w:t xml:space="preserve"> de </w:t>
      </w:r>
      <w:proofErr w:type="spellStart"/>
      <w:r w:rsidRPr="009737A3">
        <w:rPr>
          <w:i/>
          <w:sz w:val="18"/>
          <w:szCs w:val="18"/>
          <w:lang w:val="hr-HR"/>
        </w:rPr>
        <w:t>Contas</w:t>
      </w:r>
      <w:proofErr w:type="spellEnd"/>
      <w:r w:rsidRPr="009737A3">
        <w:rPr>
          <w:i/>
          <w:sz w:val="18"/>
          <w:szCs w:val="18"/>
          <w:lang w:val="hr-HR"/>
        </w:rPr>
        <w:t xml:space="preserve"> v </w:t>
      </w:r>
      <w:proofErr w:type="spellStart"/>
      <w:r w:rsidRPr="009737A3">
        <w:rPr>
          <w:i/>
          <w:sz w:val="18"/>
          <w:szCs w:val="18"/>
          <w:lang w:val="hr-HR"/>
        </w:rPr>
        <w:t>Autoridade</w:t>
      </w:r>
      <w:proofErr w:type="spellEnd"/>
      <w:r w:rsidRPr="009737A3">
        <w:rPr>
          <w:i/>
          <w:sz w:val="18"/>
          <w:szCs w:val="18"/>
          <w:lang w:val="hr-HR"/>
        </w:rPr>
        <w:t xml:space="preserve"> da </w:t>
      </w:r>
      <w:proofErr w:type="spellStart"/>
      <w:r w:rsidRPr="009737A3">
        <w:rPr>
          <w:i/>
          <w:sz w:val="18"/>
          <w:szCs w:val="18"/>
          <w:lang w:val="hr-HR"/>
        </w:rPr>
        <w:t>Concorrência</w:t>
      </w:r>
      <w:proofErr w:type="spellEnd"/>
      <w:r w:rsidRPr="009737A3">
        <w:rPr>
          <w:sz w:val="18"/>
          <w:szCs w:val="18"/>
          <w:lang w:val="hr-HR"/>
        </w:rPr>
        <w:t xml:space="preserve"> [2013] </w:t>
      </w:r>
      <w:proofErr w:type="spellStart"/>
      <w:r w:rsidRPr="009737A3">
        <w:rPr>
          <w:sz w:val="18"/>
          <w:szCs w:val="18"/>
          <w:lang w:val="hr-HR"/>
        </w:rPr>
        <w:t>ECR</w:t>
      </w:r>
      <w:proofErr w:type="spellEnd"/>
      <w:r w:rsidRPr="009737A3">
        <w:rPr>
          <w:sz w:val="18"/>
          <w:szCs w:val="18"/>
          <w:lang w:val="hr-HR"/>
        </w:rPr>
        <w:t xml:space="preserve">-0000 </w:t>
      </w:r>
      <w:proofErr w:type="spellStart"/>
      <w:r w:rsidRPr="009737A3">
        <w:rPr>
          <w:sz w:val="18"/>
          <w:szCs w:val="18"/>
          <w:lang w:val="hr-HR"/>
        </w:rPr>
        <w:t>restriction</w:t>
      </w:r>
      <w:proofErr w:type="spellEnd"/>
      <w:r w:rsidRPr="009737A3">
        <w:rPr>
          <w:sz w:val="18"/>
          <w:szCs w:val="18"/>
          <w:lang w:val="hr-HR"/>
        </w:rPr>
        <w:t xml:space="preserve"> §69</w:t>
      </w:r>
    </w:p>
  </w:footnote>
  <w:footnote w:id="80">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rStyle w:val="affairetitle"/>
          <w:rFonts w:eastAsiaTheme="majorEastAsia"/>
          <w:sz w:val="18"/>
          <w:szCs w:val="18"/>
          <w:lang w:val="it-IT"/>
        </w:rPr>
        <w:t xml:space="preserve">C-136/12 </w:t>
      </w:r>
      <w:r w:rsidRPr="009737A3">
        <w:rPr>
          <w:rStyle w:val="affairetitle"/>
          <w:rFonts w:eastAsiaTheme="majorEastAsia"/>
          <w:i/>
          <w:sz w:val="18"/>
          <w:szCs w:val="18"/>
          <w:lang w:val="it-IT"/>
        </w:rPr>
        <w:t xml:space="preserve">- Consiglio nazionale dei </w:t>
      </w:r>
      <w:proofErr w:type="spellStart"/>
      <w:r w:rsidRPr="009737A3">
        <w:rPr>
          <w:rStyle w:val="affairetitle"/>
          <w:rFonts w:eastAsiaTheme="majorEastAsia"/>
          <w:i/>
          <w:sz w:val="18"/>
          <w:szCs w:val="18"/>
          <w:lang w:val="it-IT"/>
        </w:rPr>
        <w:t>geologii</w:t>
      </w:r>
      <w:proofErr w:type="spellEnd"/>
      <w:r w:rsidRPr="009737A3">
        <w:rPr>
          <w:rStyle w:val="affairetitle"/>
          <w:rFonts w:eastAsiaTheme="majorEastAsia"/>
          <w:i/>
          <w:sz w:val="18"/>
          <w:szCs w:val="18"/>
          <w:lang w:val="it-IT"/>
        </w:rPr>
        <w:t xml:space="preserve"> Autorità garante </w:t>
      </w:r>
      <w:proofErr w:type="spellStart"/>
      <w:r w:rsidRPr="009737A3">
        <w:rPr>
          <w:rStyle w:val="affairetitle"/>
          <w:rFonts w:eastAsiaTheme="majorEastAsia"/>
          <w:i/>
          <w:sz w:val="18"/>
          <w:szCs w:val="18"/>
          <w:lang w:val="it-IT"/>
        </w:rPr>
        <w:t>dellaconcorrenza</w:t>
      </w:r>
      <w:proofErr w:type="spellEnd"/>
      <w:r w:rsidRPr="009737A3">
        <w:rPr>
          <w:rStyle w:val="affairetitle"/>
          <w:rFonts w:eastAsiaTheme="majorEastAsia"/>
          <w:i/>
          <w:sz w:val="18"/>
          <w:szCs w:val="18"/>
          <w:lang w:val="it-IT"/>
        </w:rPr>
        <w:t xml:space="preserve"> e del mercato </w:t>
      </w:r>
      <w:proofErr w:type="gramStart"/>
      <w:r w:rsidRPr="009737A3">
        <w:rPr>
          <w:rStyle w:val="affairetitle"/>
          <w:rFonts w:eastAsiaTheme="majorEastAsia"/>
          <w:i/>
          <w:sz w:val="18"/>
          <w:szCs w:val="18"/>
          <w:lang w:val="it-IT"/>
        </w:rPr>
        <w:t>53</w:t>
      </w:r>
      <w:proofErr w:type="gramEnd"/>
    </w:p>
  </w:footnote>
  <w:footnote w:id="81">
    <w:p w:rsidR="0052549E" w:rsidRPr="009737A3" w:rsidRDefault="0052549E" w:rsidP="00BE1045">
      <w:pPr>
        <w:autoSpaceDE w:val="0"/>
        <w:autoSpaceDN w:val="0"/>
        <w:adjustRightInd w:val="0"/>
        <w:spacing w:before="0" w:after="0" w:line="240" w:lineRule="auto"/>
        <w:jc w:val="left"/>
        <w:rPr>
          <w:sz w:val="18"/>
          <w:szCs w:val="18"/>
          <w:lang w:val="hr-HR"/>
        </w:rPr>
      </w:pPr>
      <w:r w:rsidRPr="009737A3">
        <w:rPr>
          <w:rStyle w:val="Referencafusnote"/>
          <w:sz w:val="18"/>
          <w:szCs w:val="18"/>
        </w:rPr>
        <w:footnoteRef/>
      </w:r>
      <w:proofErr w:type="spellStart"/>
      <w:r w:rsidRPr="009737A3">
        <w:rPr>
          <w:sz w:val="18"/>
          <w:szCs w:val="18"/>
          <w:lang w:val="hr-HR"/>
        </w:rPr>
        <w:t>FJChaloupka</w:t>
      </w:r>
      <w:proofErr w:type="spellEnd"/>
      <w:r w:rsidRPr="009737A3">
        <w:rPr>
          <w:sz w:val="18"/>
          <w:szCs w:val="18"/>
          <w:lang w:val="hr-HR"/>
        </w:rPr>
        <w:t xml:space="preserve">, M </w:t>
      </w:r>
      <w:proofErr w:type="spellStart"/>
      <w:r w:rsidRPr="009737A3">
        <w:rPr>
          <w:sz w:val="18"/>
          <w:szCs w:val="18"/>
          <w:lang w:val="hr-HR"/>
        </w:rPr>
        <w:t>Grossmanand</w:t>
      </w:r>
      <w:proofErr w:type="spellEnd"/>
      <w:r w:rsidRPr="009737A3">
        <w:rPr>
          <w:sz w:val="18"/>
          <w:szCs w:val="18"/>
          <w:lang w:val="hr-HR"/>
        </w:rPr>
        <w:t xml:space="preserve"> H </w:t>
      </w:r>
      <w:proofErr w:type="spellStart"/>
      <w:r w:rsidRPr="009737A3">
        <w:rPr>
          <w:sz w:val="18"/>
          <w:szCs w:val="18"/>
          <w:lang w:val="hr-HR"/>
        </w:rPr>
        <w:t>Saffer</w:t>
      </w:r>
      <w:proofErr w:type="spellEnd"/>
      <w:r w:rsidRPr="009737A3">
        <w:rPr>
          <w:sz w:val="18"/>
          <w:szCs w:val="18"/>
          <w:lang w:val="hr-HR"/>
        </w:rPr>
        <w:t>, '</w:t>
      </w:r>
      <w:proofErr w:type="spellStart"/>
      <w:r w:rsidRPr="009737A3">
        <w:rPr>
          <w:sz w:val="18"/>
          <w:szCs w:val="18"/>
          <w:lang w:val="hr-HR"/>
        </w:rPr>
        <w:t>Theeffectsofprice</w:t>
      </w:r>
      <w:proofErr w:type="spellEnd"/>
      <w:r w:rsidRPr="009737A3">
        <w:rPr>
          <w:sz w:val="18"/>
          <w:szCs w:val="18"/>
          <w:lang w:val="hr-HR"/>
        </w:rPr>
        <w:t xml:space="preserve"> on </w:t>
      </w:r>
      <w:proofErr w:type="spellStart"/>
      <w:r w:rsidRPr="009737A3">
        <w:rPr>
          <w:sz w:val="18"/>
          <w:szCs w:val="18"/>
          <w:lang w:val="hr-HR"/>
        </w:rPr>
        <w:t>theconsequenceofalcohol</w:t>
      </w:r>
      <w:proofErr w:type="spellEnd"/>
      <w:r w:rsidRPr="009737A3">
        <w:rPr>
          <w:sz w:val="18"/>
          <w:szCs w:val="18"/>
          <w:lang w:val="hr-HR"/>
        </w:rPr>
        <w:t xml:space="preserve"> use </w:t>
      </w:r>
      <w:proofErr w:type="spellStart"/>
      <w:r w:rsidRPr="009737A3">
        <w:rPr>
          <w:sz w:val="18"/>
          <w:szCs w:val="18"/>
          <w:lang w:val="hr-HR"/>
        </w:rPr>
        <w:t>andabuse</w:t>
      </w:r>
      <w:proofErr w:type="spellEnd"/>
      <w:r w:rsidRPr="009737A3">
        <w:rPr>
          <w:sz w:val="18"/>
          <w:szCs w:val="18"/>
          <w:lang w:val="hr-HR"/>
        </w:rPr>
        <w:t xml:space="preserve">' </w:t>
      </w:r>
      <w:proofErr w:type="spellStart"/>
      <w:r w:rsidRPr="009737A3">
        <w:rPr>
          <w:sz w:val="18"/>
          <w:szCs w:val="18"/>
          <w:lang w:val="hr-HR"/>
        </w:rPr>
        <w:t>in</w:t>
      </w:r>
      <w:proofErr w:type="spellEnd"/>
      <w:r w:rsidRPr="009737A3">
        <w:rPr>
          <w:sz w:val="18"/>
          <w:szCs w:val="18"/>
          <w:lang w:val="hr-HR"/>
        </w:rPr>
        <w:t xml:space="preserve"> M </w:t>
      </w:r>
      <w:proofErr w:type="spellStart"/>
      <w:r w:rsidRPr="009737A3">
        <w:rPr>
          <w:sz w:val="18"/>
          <w:szCs w:val="18"/>
          <w:lang w:val="hr-HR"/>
        </w:rPr>
        <w:t>Galanter</w:t>
      </w:r>
      <w:proofErr w:type="spellEnd"/>
      <w:r w:rsidRPr="009737A3">
        <w:rPr>
          <w:sz w:val="18"/>
          <w:szCs w:val="18"/>
          <w:lang w:val="hr-HR"/>
        </w:rPr>
        <w:t xml:space="preserve"> (</w:t>
      </w:r>
      <w:proofErr w:type="spellStart"/>
      <w:r w:rsidRPr="009737A3">
        <w:rPr>
          <w:sz w:val="18"/>
          <w:szCs w:val="18"/>
          <w:lang w:val="hr-HR"/>
        </w:rPr>
        <w:t>ed</w:t>
      </w:r>
      <w:proofErr w:type="spellEnd"/>
      <w:r w:rsidRPr="009737A3">
        <w:rPr>
          <w:sz w:val="18"/>
          <w:szCs w:val="18"/>
          <w:lang w:val="hr-HR"/>
        </w:rPr>
        <w:t xml:space="preserve">), </w:t>
      </w:r>
      <w:proofErr w:type="spellStart"/>
      <w:r w:rsidRPr="009737A3">
        <w:rPr>
          <w:i/>
          <w:iCs/>
          <w:sz w:val="18"/>
          <w:szCs w:val="18"/>
          <w:lang w:val="hr-HR"/>
        </w:rPr>
        <w:t>RecentDevelopmentsinAlcoholism</w:t>
      </w:r>
      <w:proofErr w:type="spellEnd"/>
      <w:r w:rsidRPr="009737A3">
        <w:rPr>
          <w:i/>
          <w:iCs/>
          <w:sz w:val="18"/>
          <w:szCs w:val="18"/>
          <w:lang w:val="hr-HR"/>
        </w:rPr>
        <w:t xml:space="preserve">, Vol. 14: </w:t>
      </w:r>
      <w:proofErr w:type="spellStart"/>
      <w:r w:rsidRPr="009737A3">
        <w:rPr>
          <w:i/>
          <w:iCs/>
          <w:sz w:val="18"/>
          <w:szCs w:val="18"/>
          <w:lang w:val="hr-HR"/>
        </w:rPr>
        <w:t>TheConsequencesofAlcoholism</w:t>
      </w:r>
      <w:proofErr w:type="spellEnd"/>
      <w:r w:rsidRPr="009737A3">
        <w:rPr>
          <w:sz w:val="18"/>
          <w:szCs w:val="18"/>
          <w:lang w:val="hr-HR"/>
        </w:rPr>
        <w:t xml:space="preserve">(New York, Plenum </w:t>
      </w:r>
      <w:proofErr w:type="spellStart"/>
      <w:r w:rsidRPr="009737A3">
        <w:rPr>
          <w:sz w:val="18"/>
          <w:szCs w:val="18"/>
          <w:lang w:val="hr-HR"/>
        </w:rPr>
        <w:t>Press</w:t>
      </w:r>
      <w:proofErr w:type="spellEnd"/>
      <w:r w:rsidRPr="009737A3">
        <w:rPr>
          <w:sz w:val="18"/>
          <w:szCs w:val="18"/>
          <w:lang w:val="hr-HR"/>
        </w:rPr>
        <w:t>, 1998) 331-46;</w:t>
      </w:r>
    </w:p>
  </w:footnote>
  <w:footnote w:id="82">
    <w:p w:rsidR="0052549E" w:rsidRPr="009737A3" w:rsidRDefault="0052549E" w:rsidP="00BE1045">
      <w:pPr>
        <w:autoSpaceDE w:val="0"/>
        <w:autoSpaceDN w:val="0"/>
        <w:adjustRightInd w:val="0"/>
        <w:spacing w:before="0" w:after="0" w:line="240" w:lineRule="auto"/>
        <w:jc w:val="left"/>
        <w:rPr>
          <w:sz w:val="18"/>
          <w:szCs w:val="18"/>
          <w:lang w:val="hr-HR"/>
        </w:rPr>
      </w:pPr>
      <w:r w:rsidRPr="009737A3">
        <w:rPr>
          <w:rStyle w:val="Referencafusnote"/>
          <w:sz w:val="18"/>
          <w:szCs w:val="18"/>
        </w:rPr>
        <w:footnoteRef/>
      </w:r>
      <w:r w:rsidRPr="009737A3">
        <w:rPr>
          <w:sz w:val="18"/>
          <w:szCs w:val="18"/>
          <w:lang w:val="hr-HR"/>
        </w:rPr>
        <w:t xml:space="preserve"> </w:t>
      </w:r>
      <w:hyperlink r:id="rId11" w:history="1">
        <w:r w:rsidRPr="009737A3">
          <w:rPr>
            <w:rStyle w:val="Hiperveza"/>
            <w:color w:val="auto"/>
            <w:sz w:val="18"/>
            <w:szCs w:val="18"/>
            <w:u w:val="none"/>
            <w:lang w:val="hr-HR"/>
          </w:rPr>
          <w:t>http://news.bbc.co.uk/1/hi/uk/7256036.stm</w:t>
        </w:r>
      </w:hyperlink>
      <w:r w:rsidRPr="009737A3">
        <w:rPr>
          <w:sz w:val="18"/>
          <w:szCs w:val="18"/>
          <w:lang w:val="hr-HR"/>
        </w:rPr>
        <w:t xml:space="preserve">   i </w:t>
      </w:r>
      <w:hyperlink r:id="rId12" w:history="1">
        <w:r w:rsidRPr="009737A3">
          <w:rPr>
            <w:rStyle w:val="Hiperveza"/>
            <w:color w:val="auto"/>
            <w:sz w:val="18"/>
            <w:szCs w:val="18"/>
            <w:u w:val="none"/>
            <w:lang w:val="hr-HR"/>
          </w:rPr>
          <w:t>http://www.telegraph.co.uk/opinion/main.jhtml?xml=/opinion/2008/02/24/do2411.xml</w:t>
        </w:r>
      </w:hyperlink>
      <w:r w:rsidRPr="009737A3">
        <w:rPr>
          <w:sz w:val="18"/>
          <w:szCs w:val="18"/>
          <w:lang w:val="hr-HR"/>
        </w:rPr>
        <w:t xml:space="preserve">; Zadnji put </w:t>
      </w:r>
      <w:proofErr w:type="spellStart"/>
      <w:r w:rsidRPr="009737A3">
        <w:rPr>
          <w:sz w:val="18"/>
          <w:szCs w:val="18"/>
          <w:lang w:val="hr-HR"/>
        </w:rPr>
        <w:t>pritupnjeno</w:t>
      </w:r>
      <w:proofErr w:type="spellEnd"/>
      <w:r w:rsidRPr="009737A3">
        <w:rPr>
          <w:sz w:val="18"/>
          <w:szCs w:val="18"/>
          <w:lang w:val="hr-HR"/>
        </w:rPr>
        <w:t xml:space="preserve"> 13.01.2014.</w:t>
      </w:r>
    </w:p>
  </w:footnote>
  <w:footnote w:id="83">
    <w:p w:rsidR="0052549E" w:rsidRPr="009737A3" w:rsidRDefault="0052549E" w:rsidP="00BE1045">
      <w:pPr>
        <w:autoSpaceDE w:val="0"/>
        <w:autoSpaceDN w:val="0"/>
        <w:adjustRightInd w:val="0"/>
        <w:spacing w:before="0" w:after="0" w:line="240" w:lineRule="auto"/>
        <w:jc w:val="left"/>
        <w:rPr>
          <w:sz w:val="18"/>
          <w:szCs w:val="18"/>
          <w:lang w:val="hr-HR"/>
        </w:rPr>
      </w:pPr>
      <w:r w:rsidRPr="009737A3">
        <w:rPr>
          <w:rStyle w:val="Referencafusnote"/>
          <w:sz w:val="18"/>
          <w:szCs w:val="18"/>
        </w:rPr>
        <w:footnoteRef/>
      </w:r>
      <w:r w:rsidRPr="009737A3">
        <w:rPr>
          <w:sz w:val="18"/>
          <w:szCs w:val="18"/>
          <w:lang w:val="hr-HR"/>
        </w:rPr>
        <w:t xml:space="preserve"> </w:t>
      </w:r>
      <w:hyperlink r:id="rId13" w:history="1">
        <w:r w:rsidRPr="009737A3">
          <w:rPr>
            <w:rStyle w:val="Hiperveza"/>
            <w:color w:val="auto"/>
            <w:sz w:val="18"/>
            <w:szCs w:val="18"/>
            <w:u w:val="none"/>
            <w:lang w:val="hr-HR"/>
          </w:rPr>
          <w:t>http://www.4ni.co.uk/northern-ireland-news.asp?id=72008</w:t>
        </w:r>
      </w:hyperlink>
      <w:r w:rsidRPr="009737A3">
        <w:rPr>
          <w:sz w:val="18"/>
          <w:szCs w:val="18"/>
          <w:lang w:val="hr-HR"/>
        </w:rPr>
        <w:t xml:space="preserve">&gt;    </w:t>
      </w:r>
      <w:hyperlink w:history="1">
        <w:r w:rsidRPr="009737A3">
          <w:rPr>
            <w:rStyle w:val="Hiperveza"/>
            <w:color w:val="auto"/>
            <w:sz w:val="18"/>
            <w:szCs w:val="18"/>
            <w:u w:val="none"/>
            <w:lang w:val="hr-HR"/>
          </w:rPr>
          <w:t xml:space="preserve">http://www. independent.co.uk/news/uk/politics/tesco-backs-pricing-call-over-binge </w:t>
        </w:r>
        <w:proofErr w:type="spellStart"/>
        <w:r w:rsidRPr="009737A3">
          <w:rPr>
            <w:rStyle w:val="Hiperveza"/>
            <w:color w:val="auto"/>
            <w:sz w:val="18"/>
            <w:szCs w:val="18"/>
            <w:u w:val="none"/>
            <w:lang w:val="hr-HR"/>
          </w:rPr>
          <w:t>drinking</w:t>
        </w:r>
        <w:proofErr w:type="spellEnd"/>
        <w:r w:rsidRPr="009737A3">
          <w:rPr>
            <w:rStyle w:val="Hiperveza"/>
            <w:color w:val="auto"/>
            <w:sz w:val="18"/>
            <w:szCs w:val="18"/>
            <w:u w:val="none"/>
            <w:lang w:val="hr-HR"/>
          </w:rPr>
          <w:t>-785101.html</w:t>
        </w:r>
      </w:hyperlink>
      <w:r w:rsidRPr="009737A3">
        <w:rPr>
          <w:sz w:val="18"/>
          <w:szCs w:val="18"/>
          <w:lang w:val="hr-HR"/>
        </w:rPr>
        <w:t xml:space="preserve"> </w:t>
      </w:r>
    </w:p>
  </w:footnote>
  <w:footnote w:id="84">
    <w:p w:rsidR="0052549E" w:rsidRPr="009737A3" w:rsidRDefault="0052549E" w:rsidP="00BE1045">
      <w:pPr>
        <w:pStyle w:val="Tekstfusnote"/>
        <w:jc w:val="left"/>
        <w:rPr>
          <w:i/>
          <w:sz w:val="18"/>
          <w:szCs w:val="18"/>
          <w:lang w:val="hr-HR"/>
        </w:rPr>
      </w:pPr>
      <w:r w:rsidRPr="009737A3">
        <w:rPr>
          <w:rStyle w:val="Referencafusnote"/>
          <w:sz w:val="18"/>
          <w:szCs w:val="18"/>
        </w:rPr>
        <w:footnoteRef/>
      </w:r>
      <w:r w:rsidRPr="009737A3">
        <w:rPr>
          <w:sz w:val="18"/>
          <w:szCs w:val="18"/>
          <w:lang w:val="hr-HR"/>
        </w:rPr>
        <w:t xml:space="preserve"> </w:t>
      </w:r>
      <w:r w:rsidRPr="009737A3">
        <w:rPr>
          <w:sz w:val="18"/>
          <w:szCs w:val="18"/>
          <w:lang w:val="hr-HR"/>
        </w:rPr>
        <w:t xml:space="preserve">Primjerice </w:t>
      </w:r>
      <w:r w:rsidRPr="009737A3">
        <w:rPr>
          <w:i/>
          <w:sz w:val="18"/>
          <w:szCs w:val="18"/>
          <w:lang w:val="hr-HR"/>
        </w:rPr>
        <w:t>T-</w:t>
      </w:r>
      <w:proofErr w:type="spellStart"/>
      <w:r w:rsidRPr="009737A3">
        <w:rPr>
          <w:i/>
          <w:sz w:val="18"/>
          <w:szCs w:val="18"/>
          <w:lang w:val="hr-HR"/>
        </w:rPr>
        <w:t>mobile</w:t>
      </w:r>
      <w:proofErr w:type="spellEnd"/>
    </w:p>
  </w:footnote>
  <w:footnote w:id="85">
    <w:p w:rsidR="0052549E" w:rsidRPr="009737A3" w:rsidRDefault="0052549E" w:rsidP="00BE1045">
      <w:pPr>
        <w:pStyle w:val="Tekstfusnote"/>
        <w:spacing w:before="0" w:after="0"/>
        <w:jc w:val="left"/>
        <w:rPr>
          <w:sz w:val="18"/>
          <w:szCs w:val="18"/>
          <w:lang w:val="hr-HR"/>
        </w:rPr>
      </w:pPr>
      <w:r w:rsidRPr="009737A3">
        <w:rPr>
          <w:rStyle w:val="Referencafusnote"/>
          <w:sz w:val="18"/>
          <w:szCs w:val="18"/>
        </w:rPr>
        <w:footnoteRef/>
      </w:r>
      <w:proofErr w:type="spellStart"/>
      <w:r w:rsidRPr="009737A3">
        <w:rPr>
          <w:sz w:val="18"/>
          <w:szCs w:val="18"/>
          <w:lang w:val="hr-HR"/>
        </w:rPr>
        <w:t>Iakopri</w:t>
      </w:r>
      <w:proofErr w:type="spellEnd"/>
      <w:r w:rsidRPr="009737A3">
        <w:rPr>
          <w:sz w:val="18"/>
          <w:szCs w:val="18"/>
          <w:lang w:val="hr-HR"/>
        </w:rPr>
        <w:t xml:space="preserve"> tome </w:t>
      </w:r>
      <w:proofErr w:type="spellStart"/>
      <w:r w:rsidRPr="009737A3">
        <w:rPr>
          <w:sz w:val="18"/>
          <w:szCs w:val="18"/>
          <w:lang w:val="hr-HR"/>
        </w:rPr>
        <w:t>trebamouzeti</w:t>
      </w:r>
      <w:proofErr w:type="spellEnd"/>
      <w:r w:rsidRPr="009737A3">
        <w:rPr>
          <w:sz w:val="18"/>
          <w:szCs w:val="18"/>
          <w:lang w:val="hr-HR"/>
        </w:rPr>
        <w:t xml:space="preserve"> u obzir da </w:t>
      </w:r>
      <w:proofErr w:type="spellStart"/>
      <w:r w:rsidRPr="009737A3">
        <w:rPr>
          <w:sz w:val="18"/>
          <w:szCs w:val="18"/>
          <w:lang w:val="hr-HR"/>
        </w:rPr>
        <w:t>ćedoći</w:t>
      </w:r>
      <w:proofErr w:type="spellEnd"/>
      <w:r w:rsidRPr="009737A3">
        <w:rPr>
          <w:sz w:val="18"/>
          <w:szCs w:val="18"/>
          <w:lang w:val="hr-HR"/>
        </w:rPr>
        <w:t xml:space="preserve"> do </w:t>
      </w:r>
      <w:proofErr w:type="spellStart"/>
      <w:r w:rsidRPr="009737A3">
        <w:rPr>
          <w:sz w:val="18"/>
          <w:szCs w:val="18"/>
          <w:lang w:val="hr-HR"/>
        </w:rPr>
        <w:t>smanjenjaprodaje</w:t>
      </w:r>
      <w:proofErr w:type="spellEnd"/>
      <w:r w:rsidRPr="009737A3">
        <w:rPr>
          <w:sz w:val="18"/>
          <w:szCs w:val="18"/>
          <w:lang w:val="hr-HR"/>
        </w:rPr>
        <w:t xml:space="preserve">. Tako je </w:t>
      </w:r>
      <w:proofErr w:type="spellStart"/>
      <w:r w:rsidRPr="009737A3">
        <w:rPr>
          <w:sz w:val="18"/>
          <w:szCs w:val="18"/>
          <w:lang w:val="hr-HR"/>
        </w:rPr>
        <w:t>upitnoda</w:t>
      </w:r>
      <w:proofErr w:type="spellEnd"/>
      <w:r w:rsidRPr="009737A3">
        <w:rPr>
          <w:sz w:val="18"/>
          <w:szCs w:val="18"/>
          <w:lang w:val="hr-HR"/>
        </w:rPr>
        <w:t xml:space="preserve"> li bi profit od razlike u </w:t>
      </w:r>
      <w:proofErr w:type="spellStart"/>
      <w:r w:rsidRPr="009737A3">
        <w:rPr>
          <w:sz w:val="18"/>
          <w:szCs w:val="18"/>
          <w:lang w:val="hr-HR"/>
        </w:rPr>
        <w:t>cijenibioveći</w:t>
      </w:r>
      <w:proofErr w:type="spellEnd"/>
      <w:r w:rsidRPr="009737A3">
        <w:rPr>
          <w:sz w:val="18"/>
          <w:szCs w:val="18"/>
          <w:lang w:val="hr-HR"/>
        </w:rPr>
        <w:t xml:space="preserve"> od </w:t>
      </w:r>
      <w:proofErr w:type="spellStart"/>
      <w:r w:rsidRPr="009737A3">
        <w:rPr>
          <w:sz w:val="18"/>
          <w:szCs w:val="18"/>
          <w:lang w:val="hr-HR"/>
        </w:rPr>
        <w:t>gubitkaprihodazbogsmanjenjeprodaje</w:t>
      </w:r>
      <w:proofErr w:type="spellEnd"/>
      <w:r w:rsidRPr="009737A3">
        <w:rPr>
          <w:sz w:val="18"/>
          <w:szCs w:val="18"/>
          <w:lang w:val="hr-HR"/>
        </w:rPr>
        <w:t xml:space="preserve">. S tim da je za </w:t>
      </w:r>
      <w:proofErr w:type="spellStart"/>
      <w:r w:rsidRPr="009737A3">
        <w:rPr>
          <w:sz w:val="18"/>
          <w:szCs w:val="18"/>
          <w:lang w:val="hr-HR"/>
        </w:rPr>
        <w:t>kvalifkacijuodrđenogsporazumakaoograničenjapociljuirelevantno</w:t>
      </w:r>
      <w:proofErr w:type="spellEnd"/>
      <w:r w:rsidRPr="009737A3">
        <w:rPr>
          <w:sz w:val="18"/>
          <w:szCs w:val="18"/>
          <w:lang w:val="hr-HR"/>
        </w:rPr>
        <w:t xml:space="preserve"> da li je on uopće u </w:t>
      </w:r>
      <w:proofErr w:type="spellStart"/>
      <w:r w:rsidRPr="009737A3">
        <w:rPr>
          <w:sz w:val="18"/>
          <w:szCs w:val="18"/>
          <w:lang w:val="hr-HR"/>
        </w:rPr>
        <w:t>interesustranaka</w:t>
      </w:r>
      <w:proofErr w:type="spellEnd"/>
      <w:r w:rsidRPr="009737A3">
        <w:rPr>
          <w:sz w:val="18"/>
          <w:szCs w:val="18"/>
          <w:lang w:val="hr-HR"/>
        </w:rPr>
        <w:t xml:space="preserve"> ili im je njime u </w:t>
      </w:r>
      <w:proofErr w:type="spellStart"/>
      <w:r w:rsidRPr="009737A3">
        <w:rPr>
          <w:sz w:val="18"/>
          <w:szCs w:val="18"/>
          <w:lang w:val="hr-HR"/>
        </w:rPr>
        <w:t>konačnicinanesenašteta</w:t>
      </w:r>
      <w:proofErr w:type="spellEnd"/>
      <w:r w:rsidRPr="009737A3">
        <w:rPr>
          <w:sz w:val="18"/>
          <w:szCs w:val="18"/>
          <w:lang w:val="hr-HR"/>
        </w:rPr>
        <w:t xml:space="preserve">. </w:t>
      </w:r>
    </w:p>
  </w:footnote>
  <w:footnote w:id="86">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lang w:val="hr-HR"/>
        </w:rPr>
        <w:t xml:space="preserve"> </w:t>
      </w:r>
      <w:proofErr w:type="spellStart"/>
      <w:r w:rsidRPr="009737A3">
        <w:rPr>
          <w:rFonts w:eastAsia="TimesNewRomanPSMT"/>
          <w:sz w:val="18"/>
          <w:szCs w:val="18"/>
          <w:lang w:val="hr-HR"/>
        </w:rPr>
        <w:t>Case</w:t>
      </w:r>
      <w:proofErr w:type="spellEnd"/>
      <w:r w:rsidRPr="009737A3">
        <w:rPr>
          <w:rFonts w:eastAsia="TimesNewRomanPSMT"/>
          <w:sz w:val="18"/>
          <w:szCs w:val="18"/>
          <w:lang w:val="hr-HR"/>
        </w:rPr>
        <w:t xml:space="preserve"> C-439/09, </w:t>
      </w:r>
      <w:proofErr w:type="spellStart"/>
      <w:r w:rsidRPr="009737A3">
        <w:rPr>
          <w:rFonts w:eastAsia="TimesNewRomanPS-ItalicMT"/>
          <w:i/>
          <w:iCs/>
          <w:sz w:val="18"/>
          <w:szCs w:val="18"/>
          <w:lang w:val="hr-HR"/>
        </w:rPr>
        <w:t>Pierre</w:t>
      </w:r>
      <w:proofErr w:type="spellEnd"/>
      <w:r w:rsidRPr="009737A3">
        <w:rPr>
          <w:rFonts w:eastAsia="TimesNewRomanPS-ItalicMT"/>
          <w:i/>
          <w:iCs/>
          <w:sz w:val="18"/>
          <w:szCs w:val="18"/>
          <w:lang w:val="hr-HR"/>
        </w:rPr>
        <w:t xml:space="preserve"> </w:t>
      </w:r>
      <w:proofErr w:type="spellStart"/>
      <w:r w:rsidRPr="009737A3">
        <w:rPr>
          <w:rFonts w:eastAsia="TimesNewRomanPS-ItalicMT"/>
          <w:i/>
          <w:iCs/>
          <w:sz w:val="18"/>
          <w:szCs w:val="18"/>
          <w:lang w:val="hr-HR"/>
        </w:rPr>
        <w:t>Fabre</w:t>
      </w:r>
      <w:proofErr w:type="spellEnd"/>
      <w:r w:rsidRPr="009737A3">
        <w:rPr>
          <w:rFonts w:eastAsia="TimesNewRomanPS-ItalicMT"/>
          <w:i/>
          <w:iCs/>
          <w:sz w:val="18"/>
          <w:szCs w:val="18"/>
          <w:lang w:val="hr-HR"/>
        </w:rPr>
        <w:t xml:space="preserve"> </w:t>
      </w:r>
      <w:proofErr w:type="spellStart"/>
      <w:r w:rsidRPr="009737A3">
        <w:rPr>
          <w:rFonts w:eastAsia="TimesNewRomanPS-ItalicMT"/>
          <w:i/>
          <w:iCs/>
          <w:sz w:val="18"/>
          <w:szCs w:val="18"/>
          <w:lang w:val="hr-HR"/>
        </w:rPr>
        <w:t>Dermo</w:t>
      </w:r>
      <w:proofErr w:type="spellEnd"/>
      <w:r w:rsidRPr="009737A3">
        <w:rPr>
          <w:rFonts w:eastAsia="TimesNewRomanPS-ItalicMT"/>
          <w:i/>
          <w:iCs/>
          <w:sz w:val="18"/>
          <w:szCs w:val="18"/>
          <w:lang w:val="hr-HR"/>
        </w:rPr>
        <w:t>-</w:t>
      </w:r>
      <w:proofErr w:type="spellStart"/>
      <w:r w:rsidRPr="009737A3">
        <w:rPr>
          <w:rFonts w:eastAsia="TimesNewRomanPS-ItalicMT"/>
          <w:i/>
          <w:iCs/>
          <w:sz w:val="18"/>
          <w:szCs w:val="18"/>
          <w:lang w:val="hr-HR"/>
        </w:rPr>
        <w:t>Cosmétique</w:t>
      </w:r>
      <w:proofErr w:type="spellEnd"/>
      <w:r w:rsidRPr="009737A3">
        <w:rPr>
          <w:rFonts w:eastAsia="TimesNewRomanPS-ItalicMT"/>
          <w:i/>
          <w:iCs/>
          <w:sz w:val="18"/>
          <w:szCs w:val="18"/>
          <w:lang w:val="hr-HR"/>
        </w:rPr>
        <w:t xml:space="preserve"> </w:t>
      </w:r>
      <w:proofErr w:type="spellStart"/>
      <w:r w:rsidRPr="009737A3">
        <w:rPr>
          <w:rFonts w:eastAsia="TimesNewRomanPS-ItalicMT"/>
          <w:i/>
          <w:iCs/>
          <w:sz w:val="18"/>
          <w:szCs w:val="18"/>
          <w:lang w:val="hr-HR"/>
        </w:rPr>
        <w:t>SAS</w:t>
      </w:r>
      <w:proofErr w:type="spellEnd"/>
    </w:p>
  </w:footnote>
  <w:footnote w:id="87">
    <w:p w:rsidR="0052549E" w:rsidRPr="009737A3" w:rsidRDefault="0052549E" w:rsidP="00BE1045">
      <w:pPr>
        <w:spacing w:line="240" w:lineRule="auto"/>
        <w:jc w:val="left"/>
        <w:rPr>
          <w:sz w:val="18"/>
          <w:szCs w:val="18"/>
          <w:lang w:val="hr-HR"/>
        </w:rPr>
      </w:pPr>
      <w:r w:rsidRPr="009737A3">
        <w:rPr>
          <w:rStyle w:val="Referencafusnote"/>
          <w:sz w:val="18"/>
          <w:szCs w:val="18"/>
        </w:rPr>
        <w:footnoteRef/>
      </w:r>
      <w:r w:rsidRPr="009737A3">
        <w:rPr>
          <w:sz w:val="18"/>
          <w:szCs w:val="18"/>
          <w:lang w:val="hr-HR"/>
        </w:rPr>
        <w:t xml:space="preserve">Za razliku od prva dva argumenta, Sud je u načelu prihvatio da  </w:t>
      </w:r>
      <w:r w:rsidRPr="009737A3">
        <w:rPr>
          <w:bCs/>
          <w:sz w:val="18"/>
          <w:szCs w:val="18"/>
          <w:lang w:val="hr-HR"/>
        </w:rPr>
        <w:t>problem «slijepog» putnika</w:t>
      </w:r>
      <w:r w:rsidRPr="009737A3">
        <w:rPr>
          <w:rStyle w:val="Referencafusnote"/>
          <w:bCs/>
          <w:sz w:val="18"/>
          <w:szCs w:val="18"/>
          <w:lang w:val="hr-HR"/>
        </w:rPr>
        <w:footnoteRef/>
      </w:r>
      <w:r w:rsidRPr="009737A3">
        <w:rPr>
          <w:i/>
          <w:iCs/>
          <w:sz w:val="18"/>
          <w:szCs w:val="18"/>
          <w:lang w:val="hr-HR"/>
        </w:rPr>
        <w:t xml:space="preserve">(engl. </w:t>
      </w:r>
      <w:proofErr w:type="spellStart"/>
      <w:r w:rsidRPr="009737A3">
        <w:rPr>
          <w:i/>
          <w:iCs/>
          <w:sz w:val="18"/>
          <w:szCs w:val="18"/>
          <w:lang w:val="hr-HR"/>
        </w:rPr>
        <w:t>freerider</w:t>
      </w:r>
      <w:proofErr w:type="spellEnd"/>
      <w:r w:rsidRPr="009737A3">
        <w:rPr>
          <w:i/>
          <w:iCs/>
          <w:sz w:val="18"/>
          <w:szCs w:val="18"/>
          <w:lang w:val="hr-HR"/>
        </w:rPr>
        <w:t xml:space="preserve"> /problem) </w:t>
      </w:r>
      <w:r w:rsidRPr="009737A3">
        <w:rPr>
          <w:iCs/>
          <w:sz w:val="18"/>
          <w:szCs w:val="18"/>
          <w:lang w:val="hr-HR"/>
        </w:rPr>
        <w:t>i zaštite od krivotvorenja lijekova legitiman cilj, no na činjenicama slučaja došlo je do zaključka da zabrana prodaje preko Interneta nije primjerena mjera za ostvarenje tog cilja.</w:t>
      </w:r>
    </w:p>
  </w:footnote>
  <w:footnote w:id="88">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lang w:val="hr-HR"/>
        </w:rPr>
        <w:t xml:space="preserve"> </w:t>
      </w:r>
      <w:hyperlink r:id="rId14" w:tgtFrame="_blank" w:history="1">
        <w:r w:rsidRPr="009737A3">
          <w:rPr>
            <w:rStyle w:val="Hiperveza"/>
            <w:rFonts w:eastAsiaTheme="majorEastAsia"/>
            <w:color w:val="auto"/>
            <w:sz w:val="18"/>
            <w:szCs w:val="18"/>
            <w:u w:val="none"/>
            <w:lang w:val="hr-HR"/>
          </w:rPr>
          <w:t xml:space="preserve">Obavijest Komisije - Smjernice o vertikalnim ograničenjima, /* </w:t>
        </w:r>
        <w:proofErr w:type="spellStart"/>
        <w:r w:rsidRPr="009737A3">
          <w:rPr>
            <w:rStyle w:val="Hiperveza"/>
            <w:rFonts w:eastAsiaTheme="majorEastAsia"/>
            <w:color w:val="auto"/>
            <w:sz w:val="18"/>
            <w:szCs w:val="18"/>
            <w:u w:val="none"/>
            <w:lang w:val="hr-HR"/>
          </w:rPr>
          <w:t>SEC</w:t>
        </w:r>
        <w:proofErr w:type="spellEnd"/>
        <w:r w:rsidRPr="009737A3">
          <w:rPr>
            <w:rStyle w:val="Hiperveza"/>
            <w:rFonts w:eastAsiaTheme="majorEastAsia"/>
            <w:color w:val="auto"/>
            <w:sz w:val="18"/>
            <w:szCs w:val="18"/>
            <w:u w:val="none"/>
            <w:lang w:val="hr-HR"/>
          </w:rPr>
          <w:t>/2010/0411 konačno */, od 10.5.2010.</w:t>
        </w:r>
      </w:hyperlink>
      <w:r w:rsidRPr="009737A3">
        <w:rPr>
          <w:sz w:val="18"/>
          <w:szCs w:val="18"/>
          <w:lang w:val="hr-HR"/>
        </w:rPr>
        <w:t xml:space="preserve"> §60</w:t>
      </w:r>
    </w:p>
  </w:footnote>
  <w:footnote w:id="89">
    <w:p w:rsidR="0052549E" w:rsidRPr="009737A3" w:rsidRDefault="0052549E" w:rsidP="00BE1045">
      <w:pPr>
        <w:autoSpaceDE w:val="0"/>
        <w:autoSpaceDN w:val="0"/>
        <w:adjustRightInd w:val="0"/>
        <w:spacing w:line="240" w:lineRule="auto"/>
        <w:jc w:val="left"/>
        <w:rPr>
          <w:rFonts w:eastAsia="BemboA"/>
          <w:i/>
          <w:iCs/>
          <w:sz w:val="18"/>
          <w:szCs w:val="18"/>
          <w:lang w:val="hr-HR"/>
        </w:rPr>
      </w:pPr>
      <w:r w:rsidRPr="009737A3">
        <w:rPr>
          <w:rStyle w:val="Referencafusnote"/>
          <w:rFonts w:eastAsiaTheme="majorEastAsia"/>
          <w:sz w:val="18"/>
          <w:szCs w:val="18"/>
        </w:rPr>
        <w:footnoteRef/>
      </w:r>
      <w:proofErr w:type="spellStart"/>
      <w:r w:rsidRPr="009737A3">
        <w:rPr>
          <w:rFonts w:eastAsia="BemboA"/>
          <w:sz w:val="18"/>
          <w:szCs w:val="18"/>
          <w:lang w:val="hr-HR"/>
        </w:rPr>
        <w:t>Ibid</w:t>
      </w:r>
      <w:proofErr w:type="spellEnd"/>
      <w:r w:rsidRPr="009737A3">
        <w:rPr>
          <w:rFonts w:eastAsia="BemboA"/>
          <w:sz w:val="18"/>
          <w:szCs w:val="18"/>
          <w:lang w:val="hr-HR"/>
        </w:rPr>
        <w:t xml:space="preserve"> u §44 Sud citira Predmete C-322/01 </w:t>
      </w:r>
      <w:proofErr w:type="spellStart"/>
      <w:r w:rsidRPr="009737A3">
        <w:rPr>
          <w:rFonts w:eastAsia="BemboA"/>
          <w:i/>
          <w:iCs/>
          <w:sz w:val="18"/>
          <w:szCs w:val="18"/>
          <w:lang w:val="hr-HR"/>
        </w:rPr>
        <w:t>DeutscherApothekerverband</w:t>
      </w:r>
      <w:proofErr w:type="spellEnd"/>
      <w:r w:rsidRPr="009737A3">
        <w:rPr>
          <w:rFonts w:eastAsia="BemboA"/>
          <w:i/>
          <w:iCs/>
          <w:sz w:val="18"/>
          <w:szCs w:val="18"/>
          <w:lang w:val="hr-HR"/>
        </w:rPr>
        <w:t xml:space="preserve"> eV v. 0800 </w:t>
      </w:r>
      <w:proofErr w:type="spellStart"/>
      <w:r w:rsidRPr="009737A3">
        <w:rPr>
          <w:rFonts w:eastAsia="BemboA"/>
          <w:i/>
          <w:iCs/>
          <w:sz w:val="18"/>
          <w:szCs w:val="18"/>
          <w:lang w:val="hr-HR"/>
        </w:rPr>
        <w:t>DocMorrisNVandJacquesWaterval</w:t>
      </w:r>
      <w:proofErr w:type="spellEnd"/>
      <w:r w:rsidRPr="009737A3">
        <w:rPr>
          <w:rFonts w:eastAsia="BemboA"/>
          <w:sz w:val="18"/>
          <w:szCs w:val="18"/>
          <w:lang w:val="hr-HR"/>
        </w:rPr>
        <w:t xml:space="preserve">[2003] </w:t>
      </w:r>
      <w:proofErr w:type="spellStart"/>
      <w:r w:rsidRPr="009737A3">
        <w:rPr>
          <w:rFonts w:eastAsia="BemboA"/>
          <w:sz w:val="18"/>
          <w:szCs w:val="18"/>
          <w:lang w:val="hr-HR"/>
        </w:rPr>
        <w:t>ECR</w:t>
      </w:r>
      <w:proofErr w:type="spellEnd"/>
      <w:r w:rsidRPr="009737A3">
        <w:rPr>
          <w:rFonts w:eastAsia="BemboA"/>
          <w:sz w:val="18"/>
          <w:szCs w:val="18"/>
          <w:lang w:val="hr-HR"/>
        </w:rPr>
        <w:t xml:space="preserve"> I-14887; Predmet C-108/09 </w:t>
      </w:r>
      <w:proofErr w:type="spellStart"/>
      <w:r w:rsidRPr="009737A3">
        <w:rPr>
          <w:rFonts w:eastAsia="BemboA"/>
          <w:i/>
          <w:iCs/>
          <w:sz w:val="18"/>
          <w:szCs w:val="18"/>
          <w:lang w:val="hr-HR"/>
        </w:rPr>
        <w:t>Ker</w:t>
      </w:r>
      <w:proofErr w:type="spellEnd"/>
      <w:r w:rsidRPr="009737A3">
        <w:rPr>
          <w:rFonts w:eastAsia="BemboA"/>
          <w:i/>
          <w:iCs/>
          <w:sz w:val="18"/>
          <w:szCs w:val="18"/>
          <w:lang w:val="hr-HR"/>
        </w:rPr>
        <w:t>-</w:t>
      </w:r>
      <w:proofErr w:type="spellStart"/>
      <w:r w:rsidRPr="009737A3">
        <w:rPr>
          <w:rFonts w:eastAsia="BemboA"/>
          <w:i/>
          <w:iCs/>
          <w:sz w:val="18"/>
          <w:szCs w:val="18"/>
          <w:lang w:val="hr-HR"/>
        </w:rPr>
        <w:t>Optica</w:t>
      </w:r>
      <w:proofErr w:type="spellEnd"/>
      <w:r w:rsidRPr="009737A3">
        <w:rPr>
          <w:rFonts w:eastAsia="BemboA"/>
          <w:sz w:val="18"/>
          <w:szCs w:val="18"/>
          <w:lang w:val="hr-HR"/>
        </w:rPr>
        <w:t xml:space="preserve">[2010] </w:t>
      </w:r>
      <w:proofErr w:type="spellStart"/>
      <w:r w:rsidRPr="009737A3">
        <w:rPr>
          <w:rFonts w:eastAsia="BemboA"/>
          <w:sz w:val="18"/>
          <w:szCs w:val="18"/>
          <w:lang w:val="hr-HR"/>
        </w:rPr>
        <w:t>ECR</w:t>
      </w:r>
      <w:proofErr w:type="spellEnd"/>
      <w:r w:rsidRPr="009737A3">
        <w:rPr>
          <w:rFonts w:eastAsia="BemboA"/>
          <w:sz w:val="18"/>
          <w:szCs w:val="18"/>
          <w:lang w:val="hr-HR"/>
        </w:rPr>
        <w:t xml:space="preserve"> I-12213.</w:t>
      </w:r>
    </w:p>
  </w:footnote>
  <w:footnote w:id="90">
    <w:p w:rsidR="0052549E" w:rsidRPr="009737A3" w:rsidRDefault="0052549E" w:rsidP="00BE1045">
      <w:pPr>
        <w:pStyle w:val="Tekstfusnote"/>
        <w:jc w:val="left"/>
        <w:rPr>
          <w:sz w:val="18"/>
          <w:szCs w:val="18"/>
          <w:lang w:val="hr-HR"/>
        </w:rPr>
      </w:pPr>
      <w:r w:rsidRPr="009737A3">
        <w:rPr>
          <w:rStyle w:val="Referencafusnote"/>
          <w:sz w:val="18"/>
          <w:szCs w:val="18"/>
        </w:rPr>
        <w:footnoteRef/>
      </w:r>
      <w:proofErr w:type="spellStart"/>
      <w:r w:rsidRPr="009737A3">
        <w:rPr>
          <w:sz w:val="18"/>
          <w:szCs w:val="18"/>
        </w:rPr>
        <w:t>Predmet</w:t>
      </w:r>
      <w:proofErr w:type="spellEnd"/>
      <w:r w:rsidRPr="009737A3">
        <w:rPr>
          <w:sz w:val="18"/>
          <w:szCs w:val="18"/>
        </w:rPr>
        <w:t xml:space="preserve"> C</w:t>
      </w:r>
      <w:r w:rsidRPr="009737A3">
        <w:rPr>
          <w:sz w:val="18"/>
          <w:szCs w:val="18"/>
        </w:rPr>
        <w:noBreakHyphen/>
        <w:t xml:space="preserve">322/01 </w:t>
      </w:r>
      <w:proofErr w:type="spellStart"/>
      <w:r w:rsidRPr="009737A3">
        <w:rPr>
          <w:i/>
          <w:iCs/>
          <w:sz w:val="18"/>
          <w:szCs w:val="18"/>
        </w:rPr>
        <w:t>DeutscherApothekerverband</w:t>
      </w:r>
      <w:proofErr w:type="spellEnd"/>
      <w:r w:rsidRPr="009737A3">
        <w:rPr>
          <w:sz w:val="18"/>
          <w:szCs w:val="18"/>
        </w:rPr>
        <w:t xml:space="preserve">[2003] </w:t>
      </w:r>
      <w:proofErr w:type="spellStart"/>
      <w:r w:rsidRPr="009737A3">
        <w:rPr>
          <w:sz w:val="18"/>
          <w:szCs w:val="18"/>
        </w:rPr>
        <w:t>ECR</w:t>
      </w:r>
      <w:proofErr w:type="spellEnd"/>
      <w:r w:rsidRPr="009737A3">
        <w:rPr>
          <w:sz w:val="18"/>
          <w:szCs w:val="18"/>
        </w:rPr>
        <w:t xml:space="preserve"> I-14887, §106,107,112</w:t>
      </w:r>
    </w:p>
  </w:footnote>
  <w:footnote w:id="91">
    <w:p w:rsidR="0052549E" w:rsidRPr="009737A3" w:rsidRDefault="0052549E" w:rsidP="00BE1045">
      <w:pPr>
        <w:pStyle w:val="Tekstfusnote"/>
        <w:jc w:val="left"/>
        <w:rPr>
          <w:sz w:val="18"/>
          <w:szCs w:val="18"/>
          <w:lang w:val="hr-HR"/>
        </w:rPr>
      </w:pPr>
      <w:r w:rsidRPr="009737A3">
        <w:rPr>
          <w:rStyle w:val="Referencafusnote"/>
          <w:sz w:val="18"/>
          <w:szCs w:val="18"/>
        </w:rPr>
        <w:footnoteRef/>
      </w:r>
      <w:proofErr w:type="spellStart"/>
      <w:r w:rsidRPr="009737A3">
        <w:rPr>
          <w:sz w:val="18"/>
          <w:szCs w:val="18"/>
        </w:rPr>
        <w:t>Predmet</w:t>
      </w:r>
      <w:proofErr w:type="spellEnd"/>
      <w:r w:rsidRPr="009737A3">
        <w:rPr>
          <w:sz w:val="18"/>
          <w:szCs w:val="18"/>
        </w:rPr>
        <w:t xml:space="preserve"> C</w:t>
      </w:r>
      <w:r w:rsidRPr="009737A3">
        <w:rPr>
          <w:sz w:val="18"/>
          <w:szCs w:val="18"/>
        </w:rPr>
        <w:noBreakHyphen/>
        <w:t xml:space="preserve">108/09 </w:t>
      </w:r>
      <w:r w:rsidRPr="009737A3">
        <w:rPr>
          <w:i/>
          <w:iCs/>
          <w:sz w:val="18"/>
          <w:szCs w:val="18"/>
        </w:rPr>
        <w:t>Ker</w:t>
      </w:r>
      <w:r w:rsidRPr="009737A3">
        <w:rPr>
          <w:i/>
          <w:iCs/>
          <w:sz w:val="18"/>
          <w:szCs w:val="18"/>
        </w:rPr>
        <w:noBreakHyphen/>
      </w:r>
      <w:proofErr w:type="spellStart"/>
      <w:r w:rsidRPr="009737A3">
        <w:rPr>
          <w:i/>
          <w:iCs/>
          <w:sz w:val="18"/>
          <w:szCs w:val="18"/>
        </w:rPr>
        <w:t>Optika</w:t>
      </w:r>
      <w:proofErr w:type="spellEnd"/>
      <w:r w:rsidRPr="009737A3">
        <w:rPr>
          <w:sz w:val="18"/>
          <w:szCs w:val="18"/>
        </w:rPr>
        <w:t xml:space="preserve"> [2010] </w:t>
      </w:r>
      <w:proofErr w:type="spellStart"/>
      <w:r w:rsidRPr="009737A3">
        <w:rPr>
          <w:sz w:val="18"/>
          <w:szCs w:val="18"/>
        </w:rPr>
        <w:t>ECR</w:t>
      </w:r>
      <w:proofErr w:type="spellEnd"/>
      <w:r w:rsidRPr="009737A3">
        <w:rPr>
          <w:sz w:val="18"/>
          <w:szCs w:val="18"/>
        </w:rPr>
        <w:t xml:space="preserve"> I-0000, § 76</w:t>
      </w:r>
    </w:p>
  </w:footnote>
  <w:footnote w:id="92">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rStyle w:val="affairetitle"/>
          <w:rFonts w:eastAsiaTheme="majorEastAsia"/>
          <w:sz w:val="18"/>
          <w:szCs w:val="18"/>
          <w:lang w:val="it-IT"/>
        </w:rPr>
        <w:t xml:space="preserve">C-136/12 </w:t>
      </w:r>
      <w:r w:rsidRPr="009737A3">
        <w:rPr>
          <w:rStyle w:val="affairetitle"/>
          <w:rFonts w:eastAsiaTheme="majorEastAsia"/>
          <w:i/>
          <w:sz w:val="18"/>
          <w:szCs w:val="18"/>
          <w:lang w:val="it-IT"/>
        </w:rPr>
        <w:t xml:space="preserve">- Consiglio nazionale dei </w:t>
      </w:r>
      <w:proofErr w:type="spellStart"/>
      <w:r w:rsidRPr="009737A3">
        <w:rPr>
          <w:rStyle w:val="affairetitle"/>
          <w:rFonts w:eastAsiaTheme="majorEastAsia"/>
          <w:i/>
          <w:sz w:val="18"/>
          <w:szCs w:val="18"/>
          <w:lang w:val="it-IT"/>
        </w:rPr>
        <w:t>geologii</w:t>
      </w:r>
      <w:proofErr w:type="spellEnd"/>
      <w:r w:rsidRPr="009737A3">
        <w:rPr>
          <w:rStyle w:val="affairetitle"/>
          <w:rFonts w:eastAsiaTheme="majorEastAsia"/>
          <w:i/>
          <w:sz w:val="18"/>
          <w:szCs w:val="18"/>
          <w:lang w:val="it-IT"/>
        </w:rPr>
        <w:t xml:space="preserve"> Autorità garante </w:t>
      </w:r>
      <w:proofErr w:type="spellStart"/>
      <w:r w:rsidRPr="009737A3">
        <w:rPr>
          <w:rStyle w:val="affairetitle"/>
          <w:rFonts w:eastAsiaTheme="majorEastAsia"/>
          <w:i/>
          <w:sz w:val="18"/>
          <w:szCs w:val="18"/>
          <w:lang w:val="it-IT"/>
        </w:rPr>
        <w:t>dellaconcorrenza</w:t>
      </w:r>
      <w:proofErr w:type="spellEnd"/>
      <w:r w:rsidRPr="009737A3">
        <w:rPr>
          <w:rStyle w:val="affairetitle"/>
          <w:rFonts w:eastAsiaTheme="majorEastAsia"/>
          <w:i/>
          <w:sz w:val="18"/>
          <w:szCs w:val="18"/>
          <w:lang w:val="it-IT"/>
        </w:rPr>
        <w:t xml:space="preserve"> e del mercato </w:t>
      </w:r>
      <w:proofErr w:type="gramStart"/>
      <w:r w:rsidRPr="009737A3">
        <w:rPr>
          <w:rStyle w:val="affairetitle"/>
          <w:rFonts w:eastAsiaTheme="majorEastAsia"/>
          <w:i/>
          <w:sz w:val="18"/>
          <w:szCs w:val="18"/>
          <w:lang w:val="it-IT"/>
        </w:rPr>
        <w:t>53</w:t>
      </w:r>
      <w:proofErr w:type="gramEnd"/>
    </w:p>
  </w:footnote>
  <w:footnote w:id="93">
    <w:p w:rsidR="003B36F0" w:rsidRPr="009737A3" w:rsidRDefault="003B36F0">
      <w:pPr>
        <w:pStyle w:val="Tekstfusnote"/>
        <w:rPr>
          <w:sz w:val="18"/>
          <w:szCs w:val="18"/>
          <w:lang w:val="hr-HR"/>
        </w:rPr>
      </w:pPr>
      <w:r w:rsidRPr="009737A3">
        <w:rPr>
          <w:rStyle w:val="Referencafusnote"/>
          <w:sz w:val="18"/>
          <w:szCs w:val="18"/>
        </w:rPr>
        <w:footnoteRef/>
      </w:r>
      <w:r w:rsidRPr="009737A3">
        <w:rPr>
          <w:sz w:val="18"/>
          <w:szCs w:val="18"/>
        </w:rPr>
        <w:t xml:space="preserve"> </w:t>
      </w:r>
      <w:proofErr w:type="spellStart"/>
      <w:r w:rsidRPr="009737A3">
        <w:rPr>
          <w:sz w:val="18"/>
          <w:szCs w:val="18"/>
          <w:lang w:val="hr-HR"/>
        </w:rPr>
        <w:t>Bailey</w:t>
      </w:r>
      <w:proofErr w:type="spellEnd"/>
      <w:r w:rsidRPr="009737A3">
        <w:rPr>
          <w:sz w:val="18"/>
          <w:szCs w:val="18"/>
          <w:lang w:val="hr-HR"/>
        </w:rPr>
        <w:t>, D. “</w:t>
      </w:r>
      <w:proofErr w:type="spellStart"/>
      <w:r w:rsidRPr="009737A3">
        <w:rPr>
          <w:sz w:val="18"/>
          <w:szCs w:val="18"/>
          <w:lang w:val="hr-HR"/>
        </w:rPr>
        <w:t>Presumptions</w:t>
      </w:r>
      <w:proofErr w:type="spellEnd"/>
      <w:r w:rsidRPr="009737A3">
        <w:rPr>
          <w:sz w:val="18"/>
          <w:szCs w:val="18"/>
          <w:lang w:val="hr-HR"/>
        </w:rPr>
        <w:t xml:space="preserve"> </w:t>
      </w:r>
      <w:proofErr w:type="spellStart"/>
      <w:r w:rsidRPr="009737A3">
        <w:rPr>
          <w:sz w:val="18"/>
          <w:szCs w:val="18"/>
          <w:lang w:val="hr-HR"/>
        </w:rPr>
        <w:t>in</w:t>
      </w:r>
      <w:proofErr w:type="spellEnd"/>
      <w:r w:rsidRPr="009737A3">
        <w:rPr>
          <w:sz w:val="18"/>
          <w:szCs w:val="18"/>
          <w:lang w:val="hr-HR"/>
        </w:rPr>
        <w:t xml:space="preserve"> EU </w:t>
      </w:r>
      <w:proofErr w:type="spellStart"/>
      <w:r w:rsidRPr="009737A3">
        <w:rPr>
          <w:sz w:val="18"/>
          <w:szCs w:val="18"/>
          <w:lang w:val="hr-HR"/>
        </w:rPr>
        <w:t>competition</w:t>
      </w:r>
      <w:proofErr w:type="spellEnd"/>
      <w:r w:rsidRPr="009737A3">
        <w:rPr>
          <w:sz w:val="18"/>
          <w:szCs w:val="18"/>
          <w:lang w:val="hr-HR"/>
        </w:rPr>
        <w:t xml:space="preserve"> </w:t>
      </w:r>
      <w:proofErr w:type="spellStart"/>
      <w:r w:rsidRPr="009737A3">
        <w:rPr>
          <w:sz w:val="18"/>
          <w:szCs w:val="18"/>
          <w:lang w:val="hr-HR"/>
        </w:rPr>
        <w:t>law</w:t>
      </w:r>
      <w:proofErr w:type="spellEnd"/>
      <w:r w:rsidRPr="009737A3">
        <w:rPr>
          <w:sz w:val="18"/>
          <w:szCs w:val="18"/>
          <w:lang w:val="hr-HR"/>
        </w:rPr>
        <w:t xml:space="preserve">”, </w:t>
      </w:r>
      <w:proofErr w:type="spellStart"/>
      <w:r w:rsidRPr="009737A3">
        <w:rPr>
          <w:sz w:val="18"/>
          <w:szCs w:val="18"/>
          <w:lang w:val="hr-HR"/>
        </w:rPr>
        <w:t>European</w:t>
      </w:r>
      <w:proofErr w:type="spellEnd"/>
      <w:r w:rsidRPr="009737A3">
        <w:rPr>
          <w:sz w:val="18"/>
          <w:szCs w:val="18"/>
          <w:lang w:val="hr-HR"/>
        </w:rPr>
        <w:t xml:space="preserve"> </w:t>
      </w:r>
      <w:proofErr w:type="spellStart"/>
      <w:r w:rsidRPr="009737A3">
        <w:rPr>
          <w:sz w:val="18"/>
          <w:szCs w:val="18"/>
          <w:lang w:val="hr-HR"/>
        </w:rPr>
        <w:t>Competition</w:t>
      </w:r>
      <w:proofErr w:type="spellEnd"/>
      <w:r w:rsidRPr="009737A3">
        <w:rPr>
          <w:sz w:val="18"/>
          <w:szCs w:val="18"/>
          <w:lang w:val="hr-HR"/>
        </w:rPr>
        <w:t xml:space="preserve"> </w:t>
      </w:r>
      <w:proofErr w:type="spellStart"/>
      <w:r w:rsidRPr="009737A3">
        <w:rPr>
          <w:sz w:val="18"/>
          <w:szCs w:val="18"/>
          <w:lang w:val="hr-HR"/>
        </w:rPr>
        <w:t>law</w:t>
      </w:r>
      <w:proofErr w:type="spellEnd"/>
      <w:r w:rsidRPr="009737A3">
        <w:rPr>
          <w:sz w:val="18"/>
          <w:szCs w:val="18"/>
          <w:lang w:val="hr-HR"/>
        </w:rPr>
        <w:t xml:space="preserve"> </w:t>
      </w:r>
      <w:proofErr w:type="spellStart"/>
      <w:r w:rsidRPr="009737A3">
        <w:rPr>
          <w:sz w:val="18"/>
          <w:szCs w:val="18"/>
          <w:lang w:val="hr-HR"/>
        </w:rPr>
        <w:t>Reviw</w:t>
      </w:r>
      <w:proofErr w:type="spellEnd"/>
      <w:r w:rsidRPr="009737A3">
        <w:rPr>
          <w:sz w:val="18"/>
          <w:szCs w:val="18"/>
          <w:lang w:val="hr-HR"/>
        </w:rPr>
        <w:t xml:space="preserve"> 2010, 31(9), 363</w:t>
      </w:r>
    </w:p>
  </w:footnote>
  <w:footnote w:id="94">
    <w:p w:rsidR="003B36F0" w:rsidRPr="009737A3" w:rsidRDefault="003B36F0">
      <w:pPr>
        <w:pStyle w:val="Tekstfusnote"/>
        <w:rPr>
          <w:i/>
          <w:sz w:val="18"/>
          <w:szCs w:val="18"/>
          <w:lang w:val="hr-HR"/>
        </w:rPr>
      </w:pPr>
      <w:r w:rsidRPr="009737A3">
        <w:rPr>
          <w:rStyle w:val="Referencafusnote"/>
          <w:sz w:val="18"/>
          <w:szCs w:val="18"/>
        </w:rPr>
        <w:footnoteRef/>
      </w:r>
      <w:r w:rsidRPr="009737A3">
        <w:rPr>
          <w:sz w:val="18"/>
          <w:szCs w:val="18"/>
          <w:lang w:val="it-IT"/>
        </w:rPr>
        <w:t xml:space="preserve"> </w:t>
      </w:r>
      <w:r w:rsidRPr="009737A3">
        <w:rPr>
          <w:sz w:val="18"/>
          <w:szCs w:val="18"/>
          <w:lang w:val="hr-HR"/>
        </w:rPr>
        <w:t xml:space="preserve">Predmet C-413/08 </w:t>
      </w:r>
      <w:r w:rsidRPr="009737A3">
        <w:rPr>
          <w:i/>
          <w:sz w:val="18"/>
          <w:szCs w:val="18"/>
          <w:lang w:val="hr-HR"/>
        </w:rPr>
        <w:t>Lafarge SA protiv Komisije,</w:t>
      </w:r>
      <w:r w:rsidRPr="009737A3">
        <w:rPr>
          <w:sz w:val="18"/>
          <w:szCs w:val="18"/>
          <w:lang w:val="hr-HR"/>
        </w:rPr>
        <w:t xml:space="preserve">[2010] </w:t>
      </w:r>
      <w:proofErr w:type="spellStart"/>
      <w:r w:rsidRPr="009737A3">
        <w:rPr>
          <w:sz w:val="18"/>
          <w:szCs w:val="18"/>
          <w:lang w:val="hr-HR"/>
        </w:rPr>
        <w:t>ECR</w:t>
      </w:r>
      <w:proofErr w:type="spellEnd"/>
      <w:r w:rsidRPr="009737A3">
        <w:rPr>
          <w:sz w:val="18"/>
          <w:szCs w:val="18"/>
          <w:lang w:val="hr-HR"/>
        </w:rPr>
        <w:t xml:space="preserve"> §30</w:t>
      </w:r>
      <w:r w:rsidRPr="009737A3">
        <w:rPr>
          <w:i/>
          <w:sz w:val="18"/>
          <w:szCs w:val="18"/>
          <w:lang w:val="hr-HR"/>
        </w:rPr>
        <w:t xml:space="preserve"> </w:t>
      </w:r>
    </w:p>
  </w:footnote>
  <w:footnote w:id="95">
    <w:p w:rsidR="0052549E" w:rsidRPr="009737A3" w:rsidRDefault="0052549E" w:rsidP="00BE1045">
      <w:pPr>
        <w:pStyle w:val="Tekstfusnote"/>
        <w:jc w:val="left"/>
        <w:rPr>
          <w:sz w:val="18"/>
          <w:szCs w:val="18"/>
          <w:lang w:val="fr-FR"/>
        </w:rPr>
      </w:pPr>
      <w:r w:rsidRPr="009737A3">
        <w:rPr>
          <w:rStyle w:val="Referencafusnote"/>
          <w:sz w:val="18"/>
          <w:szCs w:val="18"/>
        </w:rPr>
        <w:footnoteRef/>
      </w:r>
      <w:r w:rsidRPr="009737A3">
        <w:rPr>
          <w:sz w:val="18"/>
          <w:szCs w:val="18"/>
          <w:lang w:val="fr-FR"/>
        </w:rPr>
        <w:t>Ibid §36</w:t>
      </w:r>
    </w:p>
  </w:footnote>
  <w:footnote w:id="96">
    <w:p w:rsidR="0052549E" w:rsidRPr="009737A3" w:rsidRDefault="0052549E" w:rsidP="00BE1045">
      <w:pPr>
        <w:autoSpaceDE w:val="0"/>
        <w:autoSpaceDN w:val="0"/>
        <w:adjustRightInd w:val="0"/>
        <w:spacing w:line="240" w:lineRule="auto"/>
        <w:jc w:val="left"/>
        <w:rPr>
          <w:rFonts w:eastAsia="BemboA"/>
          <w:i/>
          <w:iCs/>
          <w:sz w:val="18"/>
          <w:szCs w:val="18"/>
          <w:lang w:val="hr-HR"/>
        </w:rPr>
      </w:pPr>
      <w:r w:rsidRPr="009737A3">
        <w:rPr>
          <w:rStyle w:val="Referencafusnote"/>
          <w:sz w:val="18"/>
          <w:szCs w:val="18"/>
        </w:rPr>
        <w:footnoteRef/>
      </w:r>
      <w:proofErr w:type="spellStart"/>
      <w:r w:rsidRPr="009737A3">
        <w:rPr>
          <w:sz w:val="18"/>
          <w:szCs w:val="18"/>
          <w:lang w:val="it-IT"/>
        </w:rPr>
        <w:t>Predmet</w:t>
      </w:r>
      <w:proofErr w:type="spellEnd"/>
      <w:r w:rsidRPr="009737A3">
        <w:rPr>
          <w:rFonts w:eastAsia="BemboA"/>
          <w:sz w:val="18"/>
          <w:szCs w:val="18"/>
          <w:lang w:val="hr-HR"/>
        </w:rPr>
        <w:t xml:space="preserve">C-226/11 </w:t>
      </w:r>
      <w:r w:rsidRPr="009737A3">
        <w:rPr>
          <w:rFonts w:eastAsia="BemboA"/>
          <w:i/>
          <w:iCs/>
          <w:sz w:val="18"/>
          <w:szCs w:val="18"/>
          <w:lang w:val="hr-HR"/>
        </w:rPr>
        <w:t xml:space="preserve">Expedia v. </w:t>
      </w:r>
      <w:proofErr w:type="spellStart"/>
      <w:r w:rsidRPr="009737A3">
        <w:rPr>
          <w:rFonts w:eastAsia="BemboA"/>
          <w:i/>
          <w:iCs/>
          <w:sz w:val="18"/>
          <w:szCs w:val="18"/>
          <w:lang w:val="hr-HR"/>
        </w:rPr>
        <w:t>Autorité</w:t>
      </w:r>
      <w:proofErr w:type="spellEnd"/>
      <w:r w:rsidRPr="009737A3">
        <w:rPr>
          <w:rFonts w:eastAsia="BemboA"/>
          <w:i/>
          <w:iCs/>
          <w:sz w:val="18"/>
          <w:szCs w:val="18"/>
          <w:lang w:val="hr-HR"/>
        </w:rPr>
        <w:t xml:space="preserve"> de </w:t>
      </w:r>
      <w:proofErr w:type="spellStart"/>
      <w:r w:rsidRPr="009737A3">
        <w:rPr>
          <w:rFonts w:eastAsia="BemboA"/>
          <w:i/>
          <w:iCs/>
          <w:sz w:val="18"/>
          <w:szCs w:val="18"/>
          <w:lang w:val="hr-HR"/>
        </w:rPr>
        <w:t>laconcurrence</w:t>
      </w:r>
      <w:proofErr w:type="spellEnd"/>
      <w:r w:rsidRPr="009737A3">
        <w:rPr>
          <w:rFonts w:eastAsia="BemboA"/>
          <w:i/>
          <w:iCs/>
          <w:sz w:val="18"/>
          <w:szCs w:val="18"/>
          <w:lang w:val="hr-HR"/>
        </w:rPr>
        <w:t xml:space="preserve"> i drugi</w:t>
      </w:r>
      <w:r w:rsidRPr="009737A3">
        <w:rPr>
          <w:rFonts w:eastAsia="BemboA"/>
          <w:sz w:val="18"/>
          <w:szCs w:val="18"/>
          <w:lang w:val="hr-HR"/>
        </w:rPr>
        <w:t xml:space="preserve"> [2013]</w:t>
      </w:r>
      <w:proofErr w:type="spellStart"/>
      <w:r w:rsidRPr="009737A3">
        <w:rPr>
          <w:rFonts w:eastAsia="BemboA"/>
          <w:sz w:val="18"/>
          <w:szCs w:val="18"/>
          <w:lang w:val="hr-HR"/>
        </w:rPr>
        <w:t>ECR</w:t>
      </w:r>
      <w:proofErr w:type="spellEnd"/>
      <w:r w:rsidRPr="009737A3">
        <w:rPr>
          <w:rFonts w:eastAsia="BemboA"/>
          <w:sz w:val="18"/>
          <w:szCs w:val="18"/>
          <w:lang w:val="hr-HR"/>
        </w:rPr>
        <w:t>-0000</w:t>
      </w:r>
    </w:p>
  </w:footnote>
  <w:footnote w:id="97">
    <w:p w:rsidR="0052549E" w:rsidRPr="009737A3" w:rsidRDefault="0052549E" w:rsidP="00BE1045">
      <w:pPr>
        <w:pStyle w:val="Tekstfusnote"/>
        <w:jc w:val="left"/>
        <w:rPr>
          <w:i/>
          <w:sz w:val="18"/>
          <w:szCs w:val="18"/>
          <w:lang w:val="it-IT"/>
        </w:rPr>
      </w:pPr>
      <w:r w:rsidRPr="009737A3">
        <w:rPr>
          <w:rStyle w:val="Referencafusnote"/>
          <w:sz w:val="18"/>
          <w:szCs w:val="18"/>
        </w:rPr>
        <w:footnoteRef/>
      </w:r>
      <w:proofErr w:type="spellStart"/>
      <w:r w:rsidRPr="009737A3">
        <w:rPr>
          <w:sz w:val="18"/>
          <w:szCs w:val="18"/>
          <w:lang w:val="it-IT"/>
        </w:rPr>
        <w:t>Predmet</w:t>
      </w:r>
      <w:r w:rsidRPr="009737A3">
        <w:rPr>
          <w:i/>
          <w:sz w:val="18"/>
          <w:szCs w:val="18"/>
          <w:lang w:val="it-IT"/>
        </w:rPr>
        <w:t>Allianz</w:t>
      </w:r>
      <w:proofErr w:type="spellEnd"/>
      <w:r w:rsidRPr="009737A3">
        <w:rPr>
          <w:i/>
          <w:sz w:val="18"/>
          <w:szCs w:val="18"/>
          <w:lang w:val="it-IT"/>
        </w:rPr>
        <w:t xml:space="preserve"> </w:t>
      </w:r>
      <w:proofErr w:type="spellStart"/>
      <w:r w:rsidRPr="009737A3">
        <w:rPr>
          <w:i/>
          <w:sz w:val="18"/>
          <w:szCs w:val="18"/>
          <w:lang w:val="it-IT"/>
        </w:rPr>
        <w:t>Hungaria</w:t>
      </w:r>
      <w:r w:rsidRPr="009737A3">
        <w:rPr>
          <w:sz w:val="18"/>
          <w:szCs w:val="18"/>
          <w:lang w:val="it-IT"/>
        </w:rPr>
        <w:t>citirano</w:t>
      </w:r>
      <w:proofErr w:type="spellEnd"/>
      <w:r w:rsidRPr="009737A3">
        <w:rPr>
          <w:sz w:val="18"/>
          <w:szCs w:val="18"/>
          <w:lang w:val="it-IT"/>
        </w:rPr>
        <w:t xml:space="preserve"> op. n., §36</w:t>
      </w:r>
    </w:p>
  </w:footnote>
  <w:footnote w:id="98">
    <w:p w:rsidR="0052549E" w:rsidRPr="009737A3" w:rsidRDefault="0052549E" w:rsidP="00BE1045">
      <w:pPr>
        <w:pStyle w:val="Tekstfusnote"/>
        <w:jc w:val="left"/>
        <w:rPr>
          <w:sz w:val="18"/>
          <w:szCs w:val="18"/>
        </w:rPr>
      </w:pPr>
      <w:r w:rsidRPr="009737A3">
        <w:rPr>
          <w:rStyle w:val="Referencafusnote"/>
          <w:sz w:val="18"/>
          <w:szCs w:val="18"/>
        </w:rPr>
        <w:footnoteRef/>
      </w:r>
      <w:proofErr w:type="spellStart"/>
      <w:r w:rsidRPr="009737A3">
        <w:rPr>
          <w:sz w:val="18"/>
          <w:szCs w:val="18"/>
        </w:rPr>
        <w:t>Predmet</w:t>
      </w:r>
      <w:proofErr w:type="spellEnd"/>
      <w:r w:rsidRPr="009737A3">
        <w:rPr>
          <w:sz w:val="18"/>
          <w:szCs w:val="18"/>
        </w:rPr>
        <w:t xml:space="preserve"> C</w:t>
      </w:r>
      <w:r w:rsidRPr="009737A3">
        <w:rPr>
          <w:sz w:val="18"/>
          <w:szCs w:val="18"/>
        </w:rPr>
        <w:noBreakHyphen/>
        <w:t xml:space="preserve">238/05 </w:t>
      </w:r>
      <w:proofErr w:type="spellStart"/>
      <w:r w:rsidRPr="009737A3">
        <w:rPr>
          <w:i/>
          <w:iCs/>
          <w:sz w:val="18"/>
          <w:szCs w:val="18"/>
        </w:rPr>
        <w:t>Asnef</w:t>
      </w:r>
      <w:proofErr w:type="spellEnd"/>
      <w:r w:rsidRPr="009737A3">
        <w:rPr>
          <w:i/>
          <w:iCs/>
          <w:sz w:val="18"/>
          <w:szCs w:val="18"/>
        </w:rPr>
        <w:t xml:space="preserve">-Equifax and </w:t>
      </w:r>
      <w:proofErr w:type="spellStart"/>
      <w:r w:rsidRPr="009737A3">
        <w:rPr>
          <w:i/>
          <w:iCs/>
          <w:sz w:val="18"/>
          <w:szCs w:val="18"/>
        </w:rPr>
        <w:t>Administración</w:t>
      </w:r>
      <w:proofErr w:type="spellEnd"/>
      <w:r w:rsidRPr="009737A3">
        <w:rPr>
          <w:i/>
          <w:iCs/>
          <w:sz w:val="18"/>
          <w:szCs w:val="18"/>
        </w:rPr>
        <w:t xml:space="preserve"> del Estado</w:t>
      </w:r>
      <w:r w:rsidRPr="009737A3">
        <w:rPr>
          <w:sz w:val="18"/>
          <w:szCs w:val="18"/>
        </w:rPr>
        <w:t xml:space="preserve"> [2006] </w:t>
      </w:r>
      <w:proofErr w:type="spellStart"/>
      <w:r w:rsidRPr="009737A3">
        <w:rPr>
          <w:sz w:val="18"/>
          <w:szCs w:val="18"/>
        </w:rPr>
        <w:t>ECR</w:t>
      </w:r>
      <w:proofErr w:type="spellEnd"/>
      <w:r w:rsidRPr="009737A3">
        <w:rPr>
          <w:sz w:val="18"/>
          <w:szCs w:val="18"/>
        </w:rPr>
        <w:t xml:space="preserve"> I</w:t>
      </w:r>
      <w:r w:rsidRPr="009737A3">
        <w:rPr>
          <w:sz w:val="18"/>
          <w:szCs w:val="18"/>
        </w:rPr>
        <w:noBreakHyphen/>
        <w:t>11125, §49</w:t>
      </w:r>
    </w:p>
  </w:footnote>
  <w:footnote w:id="99">
    <w:p w:rsidR="0052549E" w:rsidRPr="009737A3" w:rsidRDefault="0052549E" w:rsidP="00BE1045">
      <w:pPr>
        <w:pStyle w:val="Tekstfusnote"/>
        <w:jc w:val="left"/>
        <w:rPr>
          <w:sz w:val="18"/>
          <w:szCs w:val="18"/>
        </w:rPr>
      </w:pPr>
      <w:r w:rsidRPr="009737A3">
        <w:rPr>
          <w:rStyle w:val="Referencafusnote"/>
          <w:sz w:val="18"/>
          <w:szCs w:val="18"/>
        </w:rPr>
        <w:footnoteRef/>
      </w:r>
      <w:r w:rsidRPr="009737A3">
        <w:rPr>
          <w:sz w:val="18"/>
          <w:szCs w:val="18"/>
        </w:rPr>
        <w:t>Ibid n. 75</w:t>
      </w:r>
    </w:p>
  </w:footnote>
  <w:footnote w:id="100">
    <w:p w:rsidR="0052549E" w:rsidRPr="009737A3" w:rsidRDefault="0052549E" w:rsidP="00BE1045">
      <w:pPr>
        <w:pStyle w:val="Tekstfusnote"/>
        <w:jc w:val="left"/>
        <w:rPr>
          <w:sz w:val="18"/>
          <w:szCs w:val="18"/>
        </w:rPr>
      </w:pPr>
      <w:r w:rsidRPr="009737A3">
        <w:rPr>
          <w:rStyle w:val="Referencafusnote"/>
          <w:sz w:val="18"/>
          <w:szCs w:val="18"/>
        </w:rPr>
        <w:footnoteRef/>
      </w:r>
      <w:r w:rsidRPr="009737A3">
        <w:rPr>
          <w:sz w:val="18"/>
          <w:szCs w:val="18"/>
        </w:rPr>
        <w:t>Ibid, n.75</w:t>
      </w:r>
    </w:p>
  </w:footnote>
  <w:footnote w:id="101">
    <w:p w:rsidR="0052549E" w:rsidRPr="009737A3" w:rsidRDefault="0052549E" w:rsidP="00BE1045">
      <w:pPr>
        <w:spacing w:line="240" w:lineRule="auto"/>
        <w:jc w:val="left"/>
        <w:rPr>
          <w:sz w:val="18"/>
          <w:szCs w:val="18"/>
        </w:rPr>
      </w:pPr>
      <w:r w:rsidRPr="009737A3">
        <w:rPr>
          <w:rStyle w:val="Referencafusnote"/>
          <w:sz w:val="18"/>
          <w:szCs w:val="18"/>
        </w:rPr>
        <w:footnoteRef/>
      </w:r>
      <w:proofErr w:type="spellStart"/>
      <w:r w:rsidRPr="009737A3">
        <w:rPr>
          <w:sz w:val="18"/>
          <w:szCs w:val="18"/>
        </w:rPr>
        <w:t>Andreangeli</w:t>
      </w:r>
      <w:proofErr w:type="spellEnd"/>
      <w:r w:rsidRPr="009737A3">
        <w:rPr>
          <w:sz w:val="18"/>
          <w:szCs w:val="18"/>
        </w:rPr>
        <w:t xml:space="preserve">, Arianna From Mobile Phones to Cattle: How the Court of Justice is  </w:t>
      </w:r>
      <w:proofErr w:type="spellStart"/>
      <w:r w:rsidRPr="009737A3">
        <w:rPr>
          <w:sz w:val="18"/>
          <w:szCs w:val="18"/>
        </w:rPr>
        <w:t>reaframing</w:t>
      </w:r>
      <w:proofErr w:type="spellEnd"/>
      <w:r w:rsidRPr="009737A3">
        <w:rPr>
          <w:sz w:val="18"/>
          <w:szCs w:val="18"/>
        </w:rPr>
        <w:t xml:space="preserve"> the approach to article 101 of the EU Treaty, World Competition 215</w:t>
      </w:r>
    </w:p>
  </w:footnote>
  <w:footnote w:id="102">
    <w:p w:rsidR="0052549E" w:rsidRPr="009737A3" w:rsidRDefault="0052549E" w:rsidP="00BE1045">
      <w:pPr>
        <w:pStyle w:val="Naslov1"/>
        <w:spacing w:line="240" w:lineRule="auto"/>
        <w:jc w:val="left"/>
        <w:rPr>
          <w:rFonts w:ascii="Times New Roman" w:hAnsi="Times New Roman" w:cs="Times New Roman"/>
          <w:color w:val="auto"/>
          <w:sz w:val="18"/>
          <w:szCs w:val="18"/>
        </w:rPr>
      </w:pPr>
      <w:r w:rsidRPr="009737A3">
        <w:rPr>
          <w:rStyle w:val="Referencafusnote"/>
          <w:rFonts w:ascii="Times New Roman" w:hAnsi="Times New Roman" w:cs="Times New Roman"/>
          <w:color w:val="auto"/>
          <w:sz w:val="18"/>
          <w:szCs w:val="18"/>
        </w:rPr>
        <w:footnoteRef/>
      </w:r>
      <w:r w:rsidRPr="009737A3">
        <w:rPr>
          <w:rFonts w:ascii="Times New Roman" w:hAnsi="Times New Roman" w:cs="Times New Roman"/>
          <w:b w:val="0"/>
          <w:color w:val="auto"/>
          <w:sz w:val="18"/>
          <w:szCs w:val="18"/>
        </w:rPr>
        <w:t xml:space="preserve">European Commission, Press </w:t>
      </w:r>
      <w:proofErr w:type="spellStart"/>
      <w:r w:rsidRPr="009737A3">
        <w:rPr>
          <w:rFonts w:ascii="Times New Roman" w:hAnsi="Times New Roman" w:cs="Times New Roman"/>
          <w:b w:val="0"/>
          <w:color w:val="auto"/>
          <w:sz w:val="18"/>
          <w:szCs w:val="18"/>
        </w:rPr>
        <w:t>realese</w:t>
      </w:r>
      <w:proofErr w:type="spellEnd"/>
      <w:r w:rsidRPr="009737A3">
        <w:rPr>
          <w:rFonts w:ascii="Times New Roman" w:hAnsi="Times New Roman" w:cs="Times New Roman"/>
          <w:b w:val="0"/>
          <w:color w:val="auto"/>
          <w:sz w:val="18"/>
          <w:szCs w:val="18"/>
        </w:rPr>
        <w:t xml:space="preserve">: Antitrust: Commission fines </w:t>
      </w:r>
      <w:proofErr w:type="spellStart"/>
      <w:r w:rsidRPr="009737A3">
        <w:rPr>
          <w:rFonts w:ascii="Times New Roman" w:hAnsi="Times New Roman" w:cs="Times New Roman"/>
          <w:b w:val="0"/>
          <w:color w:val="auto"/>
          <w:sz w:val="18"/>
          <w:szCs w:val="18"/>
        </w:rPr>
        <w:t>Lundbeck</w:t>
      </w:r>
      <w:proofErr w:type="spellEnd"/>
      <w:r w:rsidRPr="009737A3">
        <w:rPr>
          <w:rFonts w:ascii="Times New Roman" w:hAnsi="Times New Roman" w:cs="Times New Roman"/>
          <w:b w:val="0"/>
          <w:color w:val="auto"/>
          <w:sz w:val="18"/>
          <w:szCs w:val="18"/>
        </w:rPr>
        <w:t xml:space="preserve"> and other </w:t>
      </w:r>
      <w:proofErr w:type="spellStart"/>
      <w:r w:rsidRPr="009737A3">
        <w:rPr>
          <w:rFonts w:ascii="Times New Roman" w:hAnsi="Times New Roman" w:cs="Times New Roman"/>
          <w:b w:val="0"/>
          <w:color w:val="auto"/>
          <w:sz w:val="18"/>
          <w:szCs w:val="18"/>
        </w:rPr>
        <w:t>pharma</w:t>
      </w:r>
      <w:proofErr w:type="spellEnd"/>
      <w:r w:rsidRPr="009737A3">
        <w:rPr>
          <w:rFonts w:ascii="Times New Roman" w:hAnsi="Times New Roman" w:cs="Times New Roman"/>
          <w:b w:val="0"/>
          <w:color w:val="auto"/>
          <w:sz w:val="18"/>
          <w:szCs w:val="18"/>
        </w:rPr>
        <w:t xml:space="preserve"> companies for delaying market entry of generic medicines IP/13/563   19/06/2013</w:t>
      </w:r>
    </w:p>
  </w:footnote>
  <w:footnote w:id="103">
    <w:p w:rsidR="0052549E" w:rsidRPr="009737A3" w:rsidRDefault="0052549E" w:rsidP="00BE1045">
      <w:pPr>
        <w:autoSpaceDE w:val="0"/>
        <w:autoSpaceDN w:val="0"/>
        <w:adjustRightInd w:val="0"/>
        <w:spacing w:before="0" w:after="0" w:line="240" w:lineRule="auto"/>
        <w:jc w:val="left"/>
        <w:rPr>
          <w:sz w:val="18"/>
          <w:szCs w:val="18"/>
          <w:lang w:val="hr-HR"/>
        </w:rPr>
      </w:pPr>
      <w:r w:rsidRPr="009737A3">
        <w:rPr>
          <w:rStyle w:val="Referencafusnote"/>
          <w:sz w:val="18"/>
          <w:szCs w:val="18"/>
        </w:rPr>
        <w:footnoteRef/>
      </w:r>
      <w:proofErr w:type="spellStart"/>
      <w:r w:rsidRPr="009737A3">
        <w:rPr>
          <w:sz w:val="18"/>
          <w:szCs w:val="18"/>
        </w:rPr>
        <w:t>AlexandarItalianer</w:t>
      </w:r>
      <w:proofErr w:type="spellEnd"/>
      <w:r w:rsidRPr="009737A3">
        <w:rPr>
          <w:sz w:val="18"/>
          <w:szCs w:val="18"/>
        </w:rPr>
        <w:t xml:space="preserve">: </w:t>
      </w:r>
      <w:proofErr w:type="spellStart"/>
      <w:r w:rsidRPr="009737A3">
        <w:rPr>
          <w:i/>
          <w:sz w:val="18"/>
          <w:szCs w:val="18"/>
        </w:rPr>
        <w:t>Competitior</w:t>
      </w:r>
      <w:proofErr w:type="spellEnd"/>
      <w:r w:rsidRPr="009737A3">
        <w:rPr>
          <w:i/>
          <w:sz w:val="18"/>
          <w:szCs w:val="18"/>
        </w:rPr>
        <w:t xml:space="preserve"> agreement in EU , </w:t>
      </w:r>
      <w:proofErr w:type="spellStart"/>
      <w:r w:rsidRPr="009737A3">
        <w:rPr>
          <w:sz w:val="18"/>
          <w:szCs w:val="18"/>
        </w:rPr>
        <w:t>Govorna</w:t>
      </w:r>
      <w:proofErr w:type="spellEnd"/>
      <w:r w:rsidRPr="009737A3">
        <w:rPr>
          <w:sz w:val="18"/>
          <w:szCs w:val="18"/>
          <w:lang w:val="hr-HR"/>
        </w:rPr>
        <w:t xml:space="preserve">40th </w:t>
      </w:r>
      <w:proofErr w:type="spellStart"/>
      <w:r w:rsidRPr="009737A3">
        <w:rPr>
          <w:sz w:val="18"/>
          <w:szCs w:val="18"/>
          <w:lang w:val="hr-HR"/>
        </w:rPr>
        <w:t>AnnualConference</w:t>
      </w:r>
      <w:proofErr w:type="spellEnd"/>
      <w:r w:rsidRPr="009737A3">
        <w:rPr>
          <w:sz w:val="18"/>
          <w:szCs w:val="18"/>
          <w:lang w:val="hr-HR"/>
        </w:rPr>
        <w:t xml:space="preserve"> on </w:t>
      </w:r>
      <w:proofErr w:type="spellStart"/>
      <w:r w:rsidRPr="009737A3">
        <w:rPr>
          <w:sz w:val="18"/>
          <w:szCs w:val="18"/>
          <w:lang w:val="hr-HR"/>
        </w:rPr>
        <w:t>InternationalAntitrustLawandPolicy</w:t>
      </w:r>
      <w:proofErr w:type="spellEnd"/>
      <w:r w:rsidRPr="009737A3">
        <w:rPr>
          <w:sz w:val="18"/>
          <w:szCs w:val="18"/>
          <w:lang w:val="hr-HR"/>
        </w:rPr>
        <w:t xml:space="preserve">, </w:t>
      </w:r>
      <w:proofErr w:type="spellStart"/>
      <w:r w:rsidRPr="009737A3">
        <w:rPr>
          <w:sz w:val="18"/>
          <w:szCs w:val="18"/>
          <w:lang w:val="hr-HR"/>
        </w:rPr>
        <w:t>FordhamCompetitionLaw</w:t>
      </w:r>
      <w:proofErr w:type="spellEnd"/>
      <w:r w:rsidRPr="009737A3">
        <w:rPr>
          <w:sz w:val="18"/>
          <w:szCs w:val="18"/>
          <w:lang w:val="hr-HR"/>
        </w:rPr>
        <w:t xml:space="preserve"> Institute </w:t>
      </w:r>
      <w:r w:rsidRPr="009737A3">
        <w:rPr>
          <w:bCs/>
          <w:sz w:val="18"/>
          <w:szCs w:val="18"/>
          <w:lang w:val="hr-HR"/>
        </w:rPr>
        <w:t xml:space="preserve">New York, 26 </w:t>
      </w:r>
      <w:proofErr w:type="spellStart"/>
      <w:r w:rsidRPr="009737A3">
        <w:rPr>
          <w:bCs/>
          <w:sz w:val="18"/>
          <w:szCs w:val="18"/>
          <w:lang w:val="hr-HR"/>
        </w:rPr>
        <w:t>September</w:t>
      </w:r>
      <w:proofErr w:type="spellEnd"/>
      <w:r w:rsidRPr="009737A3">
        <w:rPr>
          <w:bCs/>
          <w:sz w:val="18"/>
          <w:szCs w:val="18"/>
          <w:lang w:val="hr-HR"/>
        </w:rPr>
        <w:t xml:space="preserve"> 2013</w:t>
      </w:r>
    </w:p>
  </w:footnote>
  <w:footnote w:id="104">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lang w:val="it-IT"/>
        </w:rPr>
        <w:t xml:space="preserve"> </w:t>
      </w:r>
      <w:r w:rsidRPr="009737A3">
        <w:rPr>
          <w:sz w:val="18"/>
          <w:szCs w:val="18"/>
          <w:lang w:val="hr-HR"/>
        </w:rPr>
        <w:t xml:space="preserve">Radi preglednosti argumentacije u ovom poglavlju će se koristiti važeća nomenklatura i kada se misli na  članak 85. Ili članak 81. Koji su bili na snazi prije stupanja na snagu </w:t>
      </w:r>
      <w:proofErr w:type="spellStart"/>
      <w:r w:rsidRPr="009737A3">
        <w:rPr>
          <w:sz w:val="18"/>
          <w:szCs w:val="18"/>
          <w:lang w:val="hr-HR"/>
        </w:rPr>
        <w:t>Lisabonskog</w:t>
      </w:r>
      <w:proofErr w:type="spellEnd"/>
      <w:r w:rsidRPr="009737A3">
        <w:rPr>
          <w:sz w:val="18"/>
          <w:szCs w:val="18"/>
          <w:lang w:val="hr-HR"/>
        </w:rPr>
        <w:t xml:space="preserve"> ugovora.</w:t>
      </w:r>
    </w:p>
  </w:footnote>
  <w:footnote w:id="105">
    <w:p w:rsidR="0052549E" w:rsidRPr="009737A3" w:rsidRDefault="0052549E" w:rsidP="00BE1045">
      <w:pPr>
        <w:pStyle w:val="Tekstfusnote"/>
        <w:jc w:val="left"/>
        <w:rPr>
          <w:sz w:val="18"/>
          <w:szCs w:val="18"/>
        </w:rPr>
      </w:pPr>
      <w:r w:rsidRPr="009737A3">
        <w:rPr>
          <w:rStyle w:val="Referencafusnote"/>
          <w:rFonts w:eastAsiaTheme="majorEastAsia"/>
          <w:sz w:val="18"/>
          <w:szCs w:val="18"/>
        </w:rPr>
        <w:footnoteRef/>
      </w:r>
      <w:hyperlink r:id="rId15" w:tgtFrame="_blank" w:history="1">
        <w:proofErr w:type="spellStart"/>
        <w:r w:rsidRPr="009737A3">
          <w:rPr>
            <w:rStyle w:val="Hiperveza"/>
            <w:rFonts w:eastAsiaTheme="majorEastAsia"/>
            <w:color w:val="auto"/>
            <w:sz w:val="18"/>
            <w:szCs w:val="18"/>
            <w:u w:val="none"/>
            <w:lang w:val="hr-HR"/>
          </w:rPr>
          <w:t>ObavijestKomisije</w:t>
        </w:r>
        <w:proofErr w:type="spellEnd"/>
        <w:r w:rsidRPr="009737A3">
          <w:rPr>
            <w:rStyle w:val="Hiperveza"/>
            <w:rFonts w:eastAsiaTheme="majorEastAsia"/>
            <w:color w:val="auto"/>
            <w:sz w:val="18"/>
            <w:szCs w:val="18"/>
            <w:u w:val="none"/>
            <w:lang w:val="hr-HR"/>
          </w:rPr>
          <w:t xml:space="preserve"> o sporazumima male </w:t>
        </w:r>
        <w:proofErr w:type="spellStart"/>
        <w:r w:rsidRPr="009737A3">
          <w:rPr>
            <w:rStyle w:val="Hiperveza"/>
            <w:rFonts w:eastAsiaTheme="majorEastAsia"/>
            <w:color w:val="auto"/>
            <w:sz w:val="18"/>
            <w:szCs w:val="18"/>
            <w:u w:val="none"/>
            <w:lang w:val="hr-HR"/>
          </w:rPr>
          <w:t>vrijednostikojiznačajno</w:t>
        </w:r>
        <w:proofErr w:type="spellEnd"/>
        <w:r w:rsidRPr="009737A3">
          <w:rPr>
            <w:rStyle w:val="Hiperveza"/>
            <w:rFonts w:eastAsiaTheme="majorEastAsia"/>
            <w:color w:val="auto"/>
            <w:sz w:val="18"/>
            <w:szCs w:val="18"/>
            <w:u w:val="none"/>
            <w:lang w:val="hr-HR"/>
          </w:rPr>
          <w:t xml:space="preserve"> ne </w:t>
        </w:r>
        <w:proofErr w:type="spellStart"/>
        <w:r w:rsidRPr="009737A3">
          <w:rPr>
            <w:rStyle w:val="Hiperveza"/>
            <w:rFonts w:eastAsiaTheme="majorEastAsia"/>
            <w:color w:val="auto"/>
            <w:sz w:val="18"/>
            <w:szCs w:val="18"/>
            <w:u w:val="none"/>
            <w:lang w:val="hr-HR"/>
          </w:rPr>
          <w:t>ograničavajutržišnonatjecanjesukladnoČlanku</w:t>
        </w:r>
        <w:proofErr w:type="spellEnd"/>
        <w:r w:rsidRPr="009737A3">
          <w:rPr>
            <w:rStyle w:val="Hiperveza"/>
            <w:rFonts w:eastAsiaTheme="majorEastAsia"/>
            <w:color w:val="auto"/>
            <w:sz w:val="18"/>
            <w:szCs w:val="18"/>
            <w:u w:val="none"/>
            <w:lang w:val="hr-HR"/>
          </w:rPr>
          <w:t xml:space="preserve"> 81.stavku 1. </w:t>
        </w:r>
        <w:proofErr w:type="spellStart"/>
        <w:r w:rsidRPr="009737A3">
          <w:rPr>
            <w:rStyle w:val="Hiperveza"/>
            <w:rFonts w:eastAsiaTheme="majorEastAsia"/>
            <w:color w:val="auto"/>
            <w:sz w:val="18"/>
            <w:szCs w:val="18"/>
            <w:u w:val="none"/>
          </w:rPr>
          <w:t>Ugovora</w:t>
        </w:r>
        <w:proofErr w:type="spellEnd"/>
        <w:r w:rsidRPr="009737A3">
          <w:rPr>
            <w:rStyle w:val="Hiperveza"/>
            <w:rFonts w:eastAsiaTheme="majorEastAsia"/>
            <w:color w:val="auto"/>
            <w:sz w:val="18"/>
            <w:szCs w:val="18"/>
            <w:u w:val="none"/>
          </w:rPr>
          <w:t xml:space="preserve"> o </w:t>
        </w:r>
        <w:proofErr w:type="spellStart"/>
        <w:r w:rsidRPr="009737A3">
          <w:rPr>
            <w:rStyle w:val="Hiperveza"/>
            <w:rFonts w:eastAsiaTheme="majorEastAsia"/>
            <w:color w:val="auto"/>
            <w:sz w:val="18"/>
            <w:szCs w:val="18"/>
            <w:u w:val="none"/>
          </w:rPr>
          <w:t>osnivanjuEuropskezajednice</w:t>
        </w:r>
        <w:proofErr w:type="spellEnd"/>
        <w:r w:rsidRPr="009737A3">
          <w:rPr>
            <w:rStyle w:val="Hiperveza"/>
            <w:rFonts w:eastAsiaTheme="majorEastAsia"/>
            <w:color w:val="auto"/>
            <w:sz w:val="18"/>
            <w:szCs w:val="18"/>
            <w:u w:val="none"/>
          </w:rPr>
          <w:t xml:space="preserve"> (</w:t>
        </w:r>
        <w:proofErr w:type="spellStart"/>
        <w:r w:rsidRPr="009737A3">
          <w:rPr>
            <w:rStyle w:val="Hiperveza"/>
            <w:rFonts w:eastAsiaTheme="majorEastAsia"/>
            <w:color w:val="auto"/>
            <w:sz w:val="18"/>
            <w:szCs w:val="18"/>
            <w:u w:val="none"/>
          </w:rPr>
          <w:t>sporazumi</w:t>
        </w:r>
        <w:proofErr w:type="spellEnd"/>
        <w:r w:rsidRPr="009737A3">
          <w:rPr>
            <w:rStyle w:val="Hiperveza"/>
            <w:rFonts w:eastAsiaTheme="majorEastAsia"/>
            <w:color w:val="auto"/>
            <w:sz w:val="18"/>
            <w:szCs w:val="18"/>
            <w:u w:val="none"/>
          </w:rPr>
          <w:t xml:space="preserve"> de </w:t>
        </w:r>
        <w:proofErr w:type="spellStart"/>
        <w:r w:rsidRPr="009737A3">
          <w:rPr>
            <w:rStyle w:val="Hiperveza"/>
            <w:rFonts w:eastAsiaTheme="majorEastAsia"/>
            <w:color w:val="auto"/>
            <w:sz w:val="18"/>
            <w:szCs w:val="18"/>
            <w:u w:val="none"/>
          </w:rPr>
          <w:t>minimis</w:t>
        </w:r>
        <w:proofErr w:type="spellEnd"/>
        <w:r w:rsidRPr="009737A3">
          <w:rPr>
            <w:rStyle w:val="Hiperveza"/>
            <w:rFonts w:eastAsiaTheme="majorEastAsia"/>
            <w:color w:val="auto"/>
            <w:sz w:val="18"/>
            <w:szCs w:val="18"/>
            <w:u w:val="none"/>
          </w:rPr>
          <w:t>)</w:t>
        </w:r>
        <w:r w:rsidRPr="009737A3">
          <w:rPr>
            <w:sz w:val="18"/>
            <w:szCs w:val="18"/>
          </w:rPr>
          <w:br/>
        </w:r>
      </w:hyperlink>
      <w:r w:rsidRPr="009737A3">
        <w:rPr>
          <w:sz w:val="18"/>
          <w:szCs w:val="18"/>
        </w:rPr>
        <w:t>(2001/C 368/07)</w:t>
      </w:r>
    </w:p>
  </w:footnote>
  <w:footnote w:id="106">
    <w:p w:rsidR="001E3100" w:rsidRPr="001E3100" w:rsidRDefault="001E3100">
      <w:pPr>
        <w:pStyle w:val="Tekstfusnote"/>
        <w:rPr>
          <w:lang w:val="hr-HR"/>
        </w:rPr>
      </w:pPr>
      <w:r>
        <w:rPr>
          <w:rStyle w:val="Referencafusnote"/>
        </w:rPr>
        <w:footnoteRef/>
      </w:r>
      <w:r>
        <w:t xml:space="preserve"> </w:t>
      </w:r>
      <w:r>
        <w:rPr>
          <w:lang w:val="hr-HR"/>
        </w:rPr>
        <w:t xml:space="preserve">C-375/09 Tele2 </w:t>
      </w:r>
      <w:proofErr w:type="spellStart"/>
      <w:r>
        <w:rPr>
          <w:lang w:val="hr-HR"/>
        </w:rPr>
        <w:t>Polska</w:t>
      </w:r>
      <w:proofErr w:type="spellEnd"/>
      <w:r>
        <w:rPr>
          <w:lang w:val="hr-HR"/>
        </w:rPr>
        <w:t xml:space="preserve"> [</w:t>
      </w:r>
      <w:r>
        <w:t>2011</w:t>
      </w:r>
      <w:r>
        <w:t xml:space="preserve">] </w:t>
      </w:r>
      <w:proofErr w:type="spellStart"/>
      <w:r>
        <w:t>ECR</w:t>
      </w:r>
      <w:proofErr w:type="spellEnd"/>
      <w:r>
        <w:t xml:space="preserve"> I-03055</w:t>
      </w:r>
    </w:p>
  </w:footnote>
  <w:footnote w:id="107">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rPr>
        <w:t xml:space="preserve"> </w:t>
      </w:r>
      <w:r w:rsidRPr="009737A3">
        <w:rPr>
          <w:sz w:val="18"/>
          <w:szCs w:val="18"/>
          <w:lang w:val="hr-HR"/>
        </w:rPr>
        <w:t>Članak 5 Uredbe 17/1962</w:t>
      </w:r>
    </w:p>
  </w:footnote>
  <w:footnote w:id="108">
    <w:p w:rsidR="0052549E" w:rsidRPr="009737A3" w:rsidRDefault="0052549E" w:rsidP="00BE1045">
      <w:pPr>
        <w:spacing w:after="200" w:line="240" w:lineRule="auto"/>
        <w:jc w:val="left"/>
        <w:rPr>
          <w:sz w:val="18"/>
          <w:szCs w:val="18"/>
        </w:rPr>
      </w:pPr>
      <w:r w:rsidRPr="009737A3">
        <w:rPr>
          <w:rStyle w:val="Referencafusnote"/>
          <w:sz w:val="18"/>
          <w:szCs w:val="18"/>
        </w:rPr>
        <w:footnoteRef/>
      </w:r>
      <w:proofErr w:type="spellStart"/>
      <w:r w:rsidRPr="009737A3">
        <w:rPr>
          <w:sz w:val="18"/>
          <w:szCs w:val="18"/>
          <w:lang w:val="hr-HR"/>
        </w:rPr>
        <w:t>Odudu</w:t>
      </w:r>
      <w:proofErr w:type="spellEnd"/>
      <w:r w:rsidRPr="009737A3">
        <w:rPr>
          <w:sz w:val="18"/>
          <w:szCs w:val="18"/>
          <w:lang w:val="hr-HR"/>
        </w:rPr>
        <w:t xml:space="preserve">, </w:t>
      </w:r>
      <w:r w:rsidRPr="009737A3">
        <w:rPr>
          <w:sz w:val="18"/>
          <w:szCs w:val="18"/>
        </w:rPr>
        <w:t>‘Interpreting Article 81(1): The Object Requirement Revisited’(2001) 26 European Law Review 379-390.</w:t>
      </w:r>
    </w:p>
  </w:footnote>
  <w:footnote w:id="109">
    <w:p w:rsidR="0052549E" w:rsidRPr="009737A3" w:rsidRDefault="0052549E" w:rsidP="00BE1045">
      <w:pPr>
        <w:pStyle w:val="Tekstfusnote"/>
        <w:jc w:val="left"/>
        <w:rPr>
          <w:sz w:val="18"/>
          <w:szCs w:val="18"/>
          <w:lang w:val="hr-HR"/>
        </w:rPr>
      </w:pPr>
      <w:r w:rsidRPr="009737A3">
        <w:rPr>
          <w:rStyle w:val="Referencafusnote"/>
          <w:sz w:val="18"/>
          <w:szCs w:val="18"/>
        </w:rPr>
        <w:footnoteRef/>
      </w:r>
      <w:r w:rsidRPr="009737A3">
        <w:rPr>
          <w:sz w:val="18"/>
          <w:szCs w:val="18"/>
          <w:lang w:val="hr-HR"/>
        </w:rPr>
        <w:t xml:space="preserve">Prijedlog odluke nezavisnog odvjetnika </w:t>
      </w:r>
      <w:proofErr w:type="spellStart"/>
      <w:r w:rsidRPr="009737A3">
        <w:rPr>
          <w:sz w:val="18"/>
          <w:szCs w:val="18"/>
          <w:lang w:val="hr-HR"/>
        </w:rPr>
        <w:t>MelchiorWathelet</w:t>
      </w:r>
      <w:proofErr w:type="spellEnd"/>
      <w:r w:rsidRPr="009737A3">
        <w:rPr>
          <w:sz w:val="18"/>
          <w:szCs w:val="18"/>
          <w:lang w:val="hr-HR"/>
        </w:rPr>
        <w:t xml:space="preserve"> u predmetu </w:t>
      </w:r>
      <w:r w:rsidRPr="009737A3">
        <w:rPr>
          <w:rStyle w:val="affairetitle"/>
          <w:rFonts w:eastAsiaTheme="majorEastAsia"/>
          <w:sz w:val="18"/>
          <w:szCs w:val="18"/>
          <w:lang w:val="hr-HR"/>
        </w:rPr>
        <w:t xml:space="preserve">C-295/12 P - </w:t>
      </w:r>
      <w:proofErr w:type="spellStart"/>
      <w:r w:rsidRPr="009737A3">
        <w:rPr>
          <w:rStyle w:val="affairetitle"/>
          <w:rFonts w:eastAsiaTheme="majorEastAsia"/>
          <w:sz w:val="18"/>
          <w:szCs w:val="18"/>
          <w:lang w:val="hr-HR"/>
        </w:rPr>
        <w:t>TelefónicaandTelefónica</w:t>
      </w:r>
      <w:proofErr w:type="spellEnd"/>
      <w:r w:rsidRPr="009737A3">
        <w:rPr>
          <w:rStyle w:val="affairetitle"/>
          <w:rFonts w:eastAsiaTheme="majorEastAsia"/>
          <w:sz w:val="18"/>
          <w:szCs w:val="18"/>
          <w:lang w:val="hr-HR"/>
        </w:rPr>
        <w:t xml:space="preserve"> de </w:t>
      </w:r>
      <w:proofErr w:type="spellStart"/>
      <w:r w:rsidRPr="009737A3">
        <w:rPr>
          <w:rStyle w:val="affairetitle"/>
          <w:rFonts w:eastAsiaTheme="majorEastAsia"/>
          <w:sz w:val="18"/>
          <w:szCs w:val="18"/>
          <w:lang w:val="hr-HR"/>
        </w:rPr>
        <w:t>España</w:t>
      </w:r>
      <w:proofErr w:type="spellEnd"/>
      <w:r w:rsidRPr="009737A3">
        <w:rPr>
          <w:rStyle w:val="affairetitle"/>
          <w:rFonts w:eastAsiaTheme="majorEastAsia"/>
          <w:sz w:val="18"/>
          <w:szCs w:val="18"/>
          <w:lang w:val="hr-HR"/>
        </w:rPr>
        <w:t xml:space="preserve"> v </w:t>
      </w:r>
      <w:proofErr w:type="spellStart"/>
      <w:r w:rsidRPr="009737A3">
        <w:rPr>
          <w:rStyle w:val="affairetitle"/>
          <w:rFonts w:eastAsiaTheme="majorEastAsia"/>
          <w:sz w:val="18"/>
          <w:szCs w:val="18"/>
          <w:lang w:val="hr-HR"/>
        </w:rPr>
        <w:t>Commission</w:t>
      </w:r>
      <w:proofErr w:type="spellEnd"/>
      <w:r w:rsidRPr="009737A3">
        <w:rPr>
          <w:rStyle w:val="affairetitle"/>
          <w:rFonts w:eastAsiaTheme="majorEastAsia"/>
          <w:sz w:val="18"/>
          <w:szCs w:val="18"/>
          <w:lang w:val="hr-HR"/>
        </w:rPr>
        <w:t>, §7-8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79F"/>
    <w:multiLevelType w:val="hybridMultilevel"/>
    <w:tmpl w:val="88FA8244"/>
    <w:lvl w:ilvl="0" w:tplc="82F20080">
      <w:start w:val="1"/>
      <w:numFmt w:val="low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E81FE3"/>
    <w:multiLevelType w:val="hybridMultilevel"/>
    <w:tmpl w:val="12F219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4E67896"/>
    <w:multiLevelType w:val="hybridMultilevel"/>
    <w:tmpl w:val="0E367D42"/>
    <w:lvl w:ilvl="0" w:tplc="041A0001">
      <w:start w:val="1"/>
      <w:numFmt w:val="bullet"/>
      <w:lvlText w:val=""/>
      <w:lvlJc w:val="left"/>
      <w:pPr>
        <w:ind w:left="720" w:hanging="360"/>
      </w:pPr>
      <w:rPr>
        <w:rFonts w:ascii="Symbol" w:hAnsi="Symbol" w:hint="default"/>
      </w:rPr>
    </w:lvl>
    <w:lvl w:ilvl="1" w:tplc="62188C2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4927D3F"/>
    <w:multiLevelType w:val="multilevel"/>
    <w:tmpl w:val="7BC47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556020"/>
    <w:multiLevelType w:val="hybridMultilevel"/>
    <w:tmpl w:val="DBA04A32"/>
    <w:lvl w:ilvl="0" w:tplc="3BC6A9DE">
      <w:start w:val="1"/>
      <w:numFmt w:val="upperRoman"/>
      <w:lvlText w:val="%1."/>
      <w:lvlJc w:val="right"/>
      <w:pPr>
        <w:ind w:left="502" w:hanging="360"/>
      </w:pPr>
      <w:rPr>
        <w:color w:val="365F91" w:themeColor="accent1" w:themeShade="BF"/>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92F5F02"/>
    <w:multiLevelType w:val="hybridMultilevel"/>
    <w:tmpl w:val="5B2ACE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A9E58C2"/>
    <w:multiLevelType w:val="hybridMultilevel"/>
    <w:tmpl w:val="8A36A1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B6952D3"/>
    <w:multiLevelType w:val="hybridMultilevel"/>
    <w:tmpl w:val="656089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57E5434"/>
    <w:multiLevelType w:val="hybridMultilevel"/>
    <w:tmpl w:val="5D9A670C"/>
    <w:lvl w:ilvl="0" w:tplc="E578E784">
      <w:start w:val="1"/>
      <w:numFmt w:val="low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A312367"/>
    <w:multiLevelType w:val="hybridMultilevel"/>
    <w:tmpl w:val="CE3EB10A"/>
    <w:lvl w:ilvl="0" w:tplc="45F8BD4E">
      <w:start w:val="1"/>
      <w:numFmt w:val="low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5116638"/>
    <w:multiLevelType w:val="hybridMultilevel"/>
    <w:tmpl w:val="83E2FDE6"/>
    <w:lvl w:ilvl="0" w:tplc="D59EBC36">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999315F"/>
    <w:multiLevelType w:val="hybridMultilevel"/>
    <w:tmpl w:val="771CFB22"/>
    <w:lvl w:ilvl="0" w:tplc="041A0001">
      <w:start w:val="1"/>
      <w:numFmt w:val="bullet"/>
      <w:lvlText w:val=""/>
      <w:lvlJc w:val="left"/>
      <w:pPr>
        <w:ind w:left="1080" w:hanging="360"/>
      </w:pPr>
      <w:rPr>
        <w:rFonts w:ascii="Symbol" w:hAnsi="Symbo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0"/>
  </w:num>
  <w:num w:numId="2">
    <w:abstractNumId w:val="7"/>
  </w:num>
  <w:num w:numId="3">
    <w:abstractNumId w:val="9"/>
  </w:num>
  <w:num w:numId="4">
    <w:abstractNumId w:val="2"/>
  </w:num>
  <w:num w:numId="5">
    <w:abstractNumId w:val="5"/>
  </w:num>
  <w:num w:numId="6">
    <w:abstractNumId w:val="1"/>
  </w:num>
  <w:num w:numId="7">
    <w:abstractNumId w:val="0"/>
  </w:num>
  <w:num w:numId="8">
    <w:abstractNumId w:val="8"/>
  </w:num>
  <w:num w:numId="9">
    <w:abstractNumId w:val="4"/>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A3"/>
    <w:rsid w:val="0000008A"/>
    <w:rsid w:val="00004F66"/>
    <w:rsid w:val="000075CF"/>
    <w:rsid w:val="00007F75"/>
    <w:rsid w:val="00010A0B"/>
    <w:rsid w:val="000135E0"/>
    <w:rsid w:val="00015ACB"/>
    <w:rsid w:val="00021AD6"/>
    <w:rsid w:val="00022C8E"/>
    <w:rsid w:val="00024A2B"/>
    <w:rsid w:val="000270B3"/>
    <w:rsid w:val="0003195C"/>
    <w:rsid w:val="000365EA"/>
    <w:rsid w:val="00040694"/>
    <w:rsid w:val="00040747"/>
    <w:rsid w:val="00042079"/>
    <w:rsid w:val="000422E7"/>
    <w:rsid w:val="000426F3"/>
    <w:rsid w:val="000428B9"/>
    <w:rsid w:val="000439F1"/>
    <w:rsid w:val="00047BA4"/>
    <w:rsid w:val="00054DBD"/>
    <w:rsid w:val="00055DA8"/>
    <w:rsid w:val="00056DC4"/>
    <w:rsid w:val="0006424C"/>
    <w:rsid w:val="00066617"/>
    <w:rsid w:val="00070912"/>
    <w:rsid w:val="00070DE3"/>
    <w:rsid w:val="000711A3"/>
    <w:rsid w:val="00072198"/>
    <w:rsid w:val="000732B3"/>
    <w:rsid w:val="000774B5"/>
    <w:rsid w:val="00084B13"/>
    <w:rsid w:val="000859ED"/>
    <w:rsid w:val="00091547"/>
    <w:rsid w:val="00091ECE"/>
    <w:rsid w:val="00096E18"/>
    <w:rsid w:val="000976EB"/>
    <w:rsid w:val="000A649C"/>
    <w:rsid w:val="000B2843"/>
    <w:rsid w:val="000B5D40"/>
    <w:rsid w:val="000B616E"/>
    <w:rsid w:val="000C65F7"/>
    <w:rsid w:val="000D4022"/>
    <w:rsid w:val="000D48D6"/>
    <w:rsid w:val="000D67CD"/>
    <w:rsid w:val="000E00BE"/>
    <w:rsid w:val="000E0C4A"/>
    <w:rsid w:val="000E0E5E"/>
    <w:rsid w:val="000E29B3"/>
    <w:rsid w:val="000E3C67"/>
    <w:rsid w:val="000E49DB"/>
    <w:rsid w:val="000E5500"/>
    <w:rsid w:val="000E5E47"/>
    <w:rsid w:val="000E6D10"/>
    <w:rsid w:val="000F176E"/>
    <w:rsid w:val="000F1D41"/>
    <w:rsid w:val="000F2708"/>
    <w:rsid w:val="000F50D7"/>
    <w:rsid w:val="000F656D"/>
    <w:rsid w:val="00103066"/>
    <w:rsid w:val="001066EA"/>
    <w:rsid w:val="00111BE3"/>
    <w:rsid w:val="001129AA"/>
    <w:rsid w:val="00114266"/>
    <w:rsid w:val="00117E13"/>
    <w:rsid w:val="0012148F"/>
    <w:rsid w:val="00121994"/>
    <w:rsid w:val="00121C50"/>
    <w:rsid w:val="00127D90"/>
    <w:rsid w:val="00127FD1"/>
    <w:rsid w:val="001305F8"/>
    <w:rsid w:val="001306DD"/>
    <w:rsid w:val="001360AB"/>
    <w:rsid w:val="00136F0D"/>
    <w:rsid w:val="001407CD"/>
    <w:rsid w:val="001423AC"/>
    <w:rsid w:val="00145312"/>
    <w:rsid w:val="0015169D"/>
    <w:rsid w:val="00152F46"/>
    <w:rsid w:val="00156F34"/>
    <w:rsid w:val="00160014"/>
    <w:rsid w:val="00161D3C"/>
    <w:rsid w:val="001679D8"/>
    <w:rsid w:val="0017049E"/>
    <w:rsid w:val="001706CB"/>
    <w:rsid w:val="00173E69"/>
    <w:rsid w:val="00174C08"/>
    <w:rsid w:val="001754F3"/>
    <w:rsid w:val="00176F8A"/>
    <w:rsid w:val="00180908"/>
    <w:rsid w:val="00180A88"/>
    <w:rsid w:val="001813F9"/>
    <w:rsid w:val="00182D74"/>
    <w:rsid w:val="00182DDF"/>
    <w:rsid w:val="00192ACE"/>
    <w:rsid w:val="001940CB"/>
    <w:rsid w:val="00195DBC"/>
    <w:rsid w:val="001963EF"/>
    <w:rsid w:val="0019691F"/>
    <w:rsid w:val="00197F84"/>
    <w:rsid w:val="001A1125"/>
    <w:rsid w:val="001A2BF2"/>
    <w:rsid w:val="001A404A"/>
    <w:rsid w:val="001A4219"/>
    <w:rsid w:val="001A46C9"/>
    <w:rsid w:val="001B24DA"/>
    <w:rsid w:val="001B6852"/>
    <w:rsid w:val="001C085A"/>
    <w:rsid w:val="001C099A"/>
    <w:rsid w:val="001C2F8B"/>
    <w:rsid w:val="001C42F7"/>
    <w:rsid w:val="001C7ADF"/>
    <w:rsid w:val="001D5216"/>
    <w:rsid w:val="001D5855"/>
    <w:rsid w:val="001D5BB9"/>
    <w:rsid w:val="001E3100"/>
    <w:rsid w:val="001E4EBC"/>
    <w:rsid w:val="001E511B"/>
    <w:rsid w:val="001E6771"/>
    <w:rsid w:val="001E7B5B"/>
    <w:rsid w:val="001F1216"/>
    <w:rsid w:val="001F4DCC"/>
    <w:rsid w:val="001F792E"/>
    <w:rsid w:val="00203354"/>
    <w:rsid w:val="0020440E"/>
    <w:rsid w:val="0021074B"/>
    <w:rsid w:val="002116B1"/>
    <w:rsid w:val="002119D6"/>
    <w:rsid w:val="00213BA3"/>
    <w:rsid w:val="0021640D"/>
    <w:rsid w:val="002179FA"/>
    <w:rsid w:val="00217ECD"/>
    <w:rsid w:val="00220C5C"/>
    <w:rsid w:val="00225BAB"/>
    <w:rsid w:val="00226D48"/>
    <w:rsid w:val="002272A2"/>
    <w:rsid w:val="00227396"/>
    <w:rsid w:val="00240B61"/>
    <w:rsid w:val="002415CF"/>
    <w:rsid w:val="00245B06"/>
    <w:rsid w:val="00250117"/>
    <w:rsid w:val="00253BB5"/>
    <w:rsid w:val="00254399"/>
    <w:rsid w:val="00255909"/>
    <w:rsid w:val="00256C89"/>
    <w:rsid w:val="00261632"/>
    <w:rsid w:val="002630C4"/>
    <w:rsid w:val="002668D7"/>
    <w:rsid w:val="00272FDA"/>
    <w:rsid w:val="002737F0"/>
    <w:rsid w:val="0027487B"/>
    <w:rsid w:val="00281EC6"/>
    <w:rsid w:val="00283B8C"/>
    <w:rsid w:val="0028565A"/>
    <w:rsid w:val="002857AD"/>
    <w:rsid w:val="00285A61"/>
    <w:rsid w:val="00285F95"/>
    <w:rsid w:val="002863AA"/>
    <w:rsid w:val="002943FE"/>
    <w:rsid w:val="00297471"/>
    <w:rsid w:val="002A0F37"/>
    <w:rsid w:val="002A1BD0"/>
    <w:rsid w:val="002A2F96"/>
    <w:rsid w:val="002A4377"/>
    <w:rsid w:val="002B447A"/>
    <w:rsid w:val="002B5E62"/>
    <w:rsid w:val="002B7E78"/>
    <w:rsid w:val="002C418C"/>
    <w:rsid w:val="002C423B"/>
    <w:rsid w:val="002C655F"/>
    <w:rsid w:val="002D1E01"/>
    <w:rsid w:val="002D2F52"/>
    <w:rsid w:val="002D3A06"/>
    <w:rsid w:val="002E0C5B"/>
    <w:rsid w:val="002E1E84"/>
    <w:rsid w:val="002E26C6"/>
    <w:rsid w:val="002E3CA0"/>
    <w:rsid w:val="002E4E57"/>
    <w:rsid w:val="002E4FD6"/>
    <w:rsid w:val="002F1AD7"/>
    <w:rsid w:val="002F4AB3"/>
    <w:rsid w:val="002F6B07"/>
    <w:rsid w:val="00300D78"/>
    <w:rsid w:val="00301AFC"/>
    <w:rsid w:val="003066CC"/>
    <w:rsid w:val="00311980"/>
    <w:rsid w:val="003120E4"/>
    <w:rsid w:val="003145A6"/>
    <w:rsid w:val="00316125"/>
    <w:rsid w:val="0031755C"/>
    <w:rsid w:val="00317CDE"/>
    <w:rsid w:val="0032032B"/>
    <w:rsid w:val="00324200"/>
    <w:rsid w:val="003265A3"/>
    <w:rsid w:val="00327AE7"/>
    <w:rsid w:val="00331A10"/>
    <w:rsid w:val="00333F34"/>
    <w:rsid w:val="00334DEB"/>
    <w:rsid w:val="00335BE7"/>
    <w:rsid w:val="003373D0"/>
    <w:rsid w:val="00341172"/>
    <w:rsid w:val="00343F72"/>
    <w:rsid w:val="00347604"/>
    <w:rsid w:val="00347BE1"/>
    <w:rsid w:val="00350795"/>
    <w:rsid w:val="00350EC2"/>
    <w:rsid w:val="00352010"/>
    <w:rsid w:val="00352108"/>
    <w:rsid w:val="00356390"/>
    <w:rsid w:val="00356CB5"/>
    <w:rsid w:val="003611E5"/>
    <w:rsid w:val="0036190C"/>
    <w:rsid w:val="003630B4"/>
    <w:rsid w:val="00363A4A"/>
    <w:rsid w:val="00364230"/>
    <w:rsid w:val="0036604B"/>
    <w:rsid w:val="00366D08"/>
    <w:rsid w:val="003702EC"/>
    <w:rsid w:val="00373ADE"/>
    <w:rsid w:val="003768EE"/>
    <w:rsid w:val="00376DFD"/>
    <w:rsid w:val="0037789E"/>
    <w:rsid w:val="00377E2E"/>
    <w:rsid w:val="00382683"/>
    <w:rsid w:val="00382B85"/>
    <w:rsid w:val="00390FF4"/>
    <w:rsid w:val="0039103D"/>
    <w:rsid w:val="00391D9F"/>
    <w:rsid w:val="00392CA8"/>
    <w:rsid w:val="00394BE6"/>
    <w:rsid w:val="003968B5"/>
    <w:rsid w:val="003A20E0"/>
    <w:rsid w:val="003B2B73"/>
    <w:rsid w:val="003B36F0"/>
    <w:rsid w:val="003B58A5"/>
    <w:rsid w:val="003B60A5"/>
    <w:rsid w:val="003B6596"/>
    <w:rsid w:val="003B72E9"/>
    <w:rsid w:val="003C0BA1"/>
    <w:rsid w:val="003C7147"/>
    <w:rsid w:val="003C7318"/>
    <w:rsid w:val="003D20A1"/>
    <w:rsid w:val="003D266B"/>
    <w:rsid w:val="003D3CB6"/>
    <w:rsid w:val="003D4863"/>
    <w:rsid w:val="003D5E00"/>
    <w:rsid w:val="003E1018"/>
    <w:rsid w:val="003E15A0"/>
    <w:rsid w:val="003E4F9B"/>
    <w:rsid w:val="003E64E4"/>
    <w:rsid w:val="003F1088"/>
    <w:rsid w:val="003F2C32"/>
    <w:rsid w:val="003F365D"/>
    <w:rsid w:val="003F6D96"/>
    <w:rsid w:val="00401327"/>
    <w:rsid w:val="00405226"/>
    <w:rsid w:val="004052C0"/>
    <w:rsid w:val="0040713F"/>
    <w:rsid w:val="004110A8"/>
    <w:rsid w:val="00411281"/>
    <w:rsid w:val="004112A4"/>
    <w:rsid w:val="0042611E"/>
    <w:rsid w:val="00435AC9"/>
    <w:rsid w:val="0043619E"/>
    <w:rsid w:val="00436E9E"/>
    <w:rsid w:val="00436FED"/>
    <w:rsid w:val="004503C2"/>
    <w:rsid w:val="00453ADF"/>
    <w:rsid w:val="00455DE0"/>
    <w:rsid w:val="00456F12"/>
    <w:rsid w:val="00457013"/>
    <w:rsid w:val="004572DC"/>
    <w:rsid w:val="00462A03"/>
    <w:rsid w:val="00463AFA"/>
    <w:rsid w:val="004671CC"/>
    <w:rsid w:val="00472F33"/>
    <w:rsid w:val="00476586"/>
    <w:rsid w:val="00477F5E"/>
    <w:rsid w:val="00482DD2"/>
    <w:rsid w:val="004836FD"/>
    <w:rsid w:val="00485E78"/>
    <w:rsid w:val="004874B4"/>
    <w:rsid w:val="00492558"/>
    <w:rsid w:val="00492A59"/>
    <w:rsid w:val="004A1169"/>
    <w:rsid w:val="004A567F"/>
    <w:rsid w:val="004A64F2"/>
    <w:rsid w:val="004A66C3"/>
    <w:rsid w:val="004A71E1"/>
    <w:rsid w:val="004B0D70"/>
    <w:rsid w:val="004C0965"/>
    <w:rsid w:val="004C1033"/>
    <w:rsid w:val="004C17D3"/>
    <w:rsid w:val="004C30ED"/>
    <w:rsid w:val="004C45D6"/>
    <w:rsid w:val="004C6EDC"/>
    <w:rsid w:val="004D0029"/>
    <w:rsid w:val="004D044C"/>
    <w:rsid w:val="004D0A58"/>
    <w:rsid w:val="004D466D"/>
    <w:rsid w:val="004D7AA2"/>
    <w:rsid w:val="004E304B"/>
    <w:rsid w:val="004E4B5F"/>
    <w:rsid w:val="004E6BDB"/>
    <w:rsid w:val="004E70A9"/>
    <w:rsid w:val="004F015B"/>
    <w:rsid w:val="004F05F3"/>
    <w:rsid w:val="004F2C4E"/>
    <w:rsid w:val="004F4250"/>
    <w:rsid w:val="004F451A"/>
    <w:rsid w:val="004F4973"/>
    <w:rsid w:val="004F5B5F"/>
    <w:rsid w:val="004F6087"/>
    <w:rsid w:val="004F61F1"/>
    <w:rsid w:val="004F76BF"/>
    <w:rsid w:val="004F79D1"/>
    <w:rsid w:val="00500882"/>
    <w:rsid w:val="005019AF"/>
    <w:rsid w:val="0050298B"/>
    <w:rsid w:val="00511D5C"/>
    <w:rsid w:val="00512814"/>
    <w:rsid w:val="00520507"/>
    <w:rsid w:val="00521086"/>
    <w:rsid w:val="0052120A"/>
    <w:rsid w:val="005234A0"/>
    <w:rsid w:val="005237F7"/>
    <w:rsid w:val="0052549E"/>
    <w:rsid w:val="00525E25"/>
    <w:rsid w:val="0052760E"/>
    <w:rsid w:val="00527652"/>
    <w:rsid w:val="00527E69"/>
    <w:rsid w:val="00530197"/>
    <w:rsid w:val="0053465F"/>
    <w:rsid w:val="0053677D"/>
    <w:rsid w:val="00543BDD"/>
    <w:rsid w:val="00544CA8"/>
    <w:rsid w:val="00544FB3"/>
    <w:rsid w:val="005456F1"/>
    <w:rsid w:val="00545EC7"/>
    <w:rsid w:val="005462E6"/>
    <w:rsid w:val="00546C8E"/>
    <w:rsid w:val="00547AC6"/>
    <w:rsid w:val="00551E12"/>
    <w:rsid w:val="00552C11"/>
    <w:rsid w:val="00555067"/>
    <w:rsid w:val="00555A35"/>
    <w:rsid w:val="00555BC6"/>
    <w:rsid w:val="00555E5C"/>
    <w:rsid w:val="0056067E"/>
    <w:rsid w:val="00562D2E"/>
    <w:rsid w:val="00565A63"/>
    <w:rsid w:val="005661C1"/>
    <w:rsid w:val="0057604C"/>
    <w:rsid w:val="005811DA"/>
    <w:rsid w:val="00586CD1"/>
    <w:rsid w:val="00590AE9"/>
    <w:rsid w:val="00592909"/>
    <w:rsid w:val="005934B1"/>
    <w:rsid w:val="005934F3"/>
    <w:rsid w:val="005934FF"/>
    <w:rsid w:val="0059413C"/>
    <w:rsid w:val="00596E83"/>
    <w:rsid w:val="005A261B"/>
    <w:rsid w:val="005A3458"/>
    <w:rsid w:val="005A46B1"/>
    <w:rsid w:val="005B0ACD"/>
    <w:rsid w:val="005B187E"/>
    <w:rsid w:val="005B3BB4"/>
    <w:rsid w:val="005B53E2"/>
    <w:rsid w:val="005B7FED"/>
    <w:rsid w:val="005C3042"/>
    <w:rsid w:val="005C6936"/>
    <w:rsid w:val="005C6996"/>
    <w:rsid w:val="005C6D74"/>
    <w:rsid w:val="005D339F"/>
    <w:rsid w:val="005D6FA8"/>
    <w:rsid w:val="005E1693"/>
    <w:rsid w:val="005E56B7"/>
    <w:rsid w:val="005E7A2B"/>
    <w:rsid w:val="005F0633"/>
    <w:rsid w:val="005F17C5"/>
    <w:rsid w:val="005F4DA2"/>
    <w:rsid w:val="005F529A"/>
    <w:rsid w:val="005F54FC"/>
    <w:rsid w:val="00602286"/>
    <w:rsid w:val="00603F63"/>
    <w:rsid w:val="00610861"/>
    <w:rsid w:val="006245BA"/>
    <w:rsid w:val="006304FD"/>
    <w:rsid w:val="0063407B"/>
    <w:rsid w:val="00634E91"/>
    <w:rsid w:val="00642EF9"/>
    <w:rsid w:val="006467B8"/>
    <w:rsid w:val="00655DCD"/>
    <w:rsid w:val="006565AD"/>
    <w:rsid w:val="00657822"/>
    <w:rsid w:val="00666E09"/>
    <w:rsid w:val="006715D2"/>
    <w:rsid w:val="006721AC"/>
    <w:rsid w:val="00683FF0"/>
    <w:rsid w:val="00685598"/>
    <w:rsid w:val="00686BD0"/>
    <w:rsid w:val="00692990"/>
    <w:rsid w:val="006933DA"/>
    <w:rsid w:val="00696E06"/>
    <w:rsid w:val="006973DC"/>
    <w:rsid w:val="006A1789"/>
    <w:rsid w:val="006A3AA7"/>
    <w:rsid w:val="006B08B4"/>
    <w:rsid w:val="006B17DE"/>
    <w:rsid w:val="006B632C"/>
    <w:rsid w:val="006B7C4D"/>
    <w:rsid w:val="006C0828"/>
    <w:rsid w:val="006C2757"/>
    <w:rsid w:val="006C2BE8"/>
    <w:rsid w:val="006C72C0"/>
    <w:rsid w:val="006D063E"/>
    <w:rsid w:val="006D1F29"/>
    <w:rsid w:val="006D595C"/>
    <w:rsid w:val="006D66D9"/>
    <w:rsid w:val="006D7907"/>
    <w:rsid w:val="006F0432"/>
    <w:rsid w:val="006F6EFB"/>
    <w:rsid w:val="00701C8E"/>
    <w:rsid w:val="0070464D"/>
    <w:rsid w:val="007204A9"/>
    <w:rsid w:val="007223C7"/>
    <w:rsid w:val="00730518"/>
    <w:rsid w:val="007362CE"/>
    <w:rsid w:val="00736F77"/>
    <w:rsid w:val="0074322A"/>
    <w:rsid w:val="00746AF2"/>
    <w:rsid w:val="00746C3D"/>
    <w:rsid w:val="00751F6B"/>
    <w:rsid w:val="00752B7C"/>
    <w:rsid w:val="00753F41"/>
    <w:rsid w:val="007550BF"/>
    <w:rsid w:val="00755828"/>
    <w:rsid w:val="00755E5C"/>
    <w:rsid w:val="00767808"/>
    <w:rsid w:val="00767D1C"/>
    <w:rsid w:val="00770408"/>
    <w:rsid w:val="00774D70"/>
    <w:rsid w:val="00776E8B"/>
    <w:rsid w:val="00780009"/>
    <w:rsid w:val="00780A71"/>
    <w:rsid w:val="00785B26"/>
    <w:rsid w:val="00786770"/>
    <w:rsid w:val="00786800"/>
    <w:rsid w:val="0079154B"/>
    <w:rsid w:val="0079224B"/>
    <w:rsid w:val="00793C8D"/>
    <w:rsid w:val="00794197"/>
    <w:rsid w:val="00795D08"/>
    <w:rsid w:val="007962CD"/>
    <w:rsid w:val="00796DFC"/>
    <w:rsid w:val="007A7E48"/>
    <w:rsid w:val="007B50A5"/>
    <w:rsid w:val="007C1C00"/>
    <w:rsid w:val="007C41B9"/>
    <w:rsid w:val="007C56BF"/>
    <w:rsid w:val="007D0C89"/>
    <w:rsid w:val="007D2AAC"/>
    <w:rsid w:val="007D2C79"/>
    <w:rsid w:val="007D44E8"/>
    <w:rsid w:val="007D4F0B"/>
    <w:rsid w:val="007E2241"/>
    <w:rsid w:val="007E2DBC"/>
    <w:rsid w:val="007E47B4"/>
    <w:rsid w:val="007E6562"/>
    <w:rsid w:val="007F00F5"/>
    <w:rsid w:val="007F1A92"/>
    <w:rsid w:val="008027F4"/>
    <w:rsid w:val="00803E92"/>
    <w:rsid w:val="0080751F"/>
    <w:rsid w:val="00814575"/>
    <w:rsid w:val="008152B1"/>
    <w:rsid w:val="00815FB1"/>
    <w:rsid w:val="0081680C"/>
    <w:rsid w:val="008171FA"/>
    <w:rsid w:val="00826AE4"/>
    <w:rsid w:val="008274F2"/>
    <w:rsid w:val="0083165C"/>
    <w:rsid w:val="008348AC"/>
    <w:rsid w:val="008360D1"/>
    <w:rsid w:val="00851E7F"/>
    <w:rsid w:val="008525D2"/>
    <w:rsid w:val="00853587"/>
    <w:rsid w:val="00853EEB"/>
    <w:rsid w:val="00854E2B"/>
    <w:rsid w:val="0085791D"/>
    <w:rsid w:val="00862A2A"/>
    <w:rsid w:val="00865106"/>
    <w:rsid w:val="00867170"/>
    <w:rsid w:val="008678D5"/>
    <w:rsid w:val="00877B62"/>
    <w:rsid w:val="0088297C"/>
    <w:rsid w:val="00885D1B"/>
    <w:rsid w:val="00886B9E"/>
    <w:rsid w:val="008919A0"/>
    <w:rsid w:val="00892CCA"/>
    <w:rsid w:val="008937C5"/>
    <w:rsid w:val="0089512F"/>
    <w:rsid w:val="008959E8"/>
    <w:rsid w:val="00896FE0"/>
    <w:rsid w:val="008A5E40"/>
    <w:rsid w:val="008B00CE"/>
    <w:rsid w:val="008B2606"/>
    <w:rsid w:val="008B2E39"/>
    <w:rsid w:val="008B657C"/>
    <w:rsid w:val="008C2069"/>
    <w:rsid w:val="008C3CB6"/>
    <w:rsid w:val="008C3E39"/>
    <w:rsid w:val="008C46F8"/>
    <w:rsid w:val="008C5F6E"/>
    <w:rsid w:val="008C6A72"/>
    <w:rsid w:val="008C78FC"/>
    <w:rsid w:val="008D18F7"/>
    <w:rsid w:val="008D1C38"/>
    <w:rsid w:val="008D1C75"/>
    <w:rsid w:val="008D44A6"/>
    <w:rsid w:val="008D4FA0"/>
    <w:rsid w:val="008D676C"/>
    <w:rsid w:val="008D764F"/>
    <w:rsid w:val="008D7930"/>
    <w:rsid w:val="008E4E2F"/>
    <w:rsid w:val="008E6691"/>
    <w:rsid w:val="008E6EB3"/>
    <w:rsid w:val="008F0441"/>
    <w:rsid w:val="008F73EB"/>
    <w:rsid w:val="009064D0"/>
    <w:rsid w:val="009215B6"/>
    <w:rsid w:val="00925A40"/>
    <w:rsid w:val="00926D3F"/>
    <w:rsid w:val="00927191"/>
    <w:rsid w:val="00927CB8"/>
    <w:rsid w:val="0093125D"/>
    <w:rsid w:val="00932060"/>
    <w:rsid w:val="00934D34"/>
    <w:rsid w:val="0093689A"/>
    <w:rsid w:val="00937CAB"/>
    <w:rsid w:val="00942D13"/>
    <w:rsid w:val="009436FC"/>
    <w:rsid w:val="00944AE0"/>
    <w:rsid w:val="0095120D"/>
    <w:rsid w:val="009524D0"/>
    <w:rsid w:val="009545D8"/>
    <w:rsid w:val="009555C6"/>
    <w:rsid w:val="009619C0"/>
    <w:rsid w:val="009630F5"/>
    <w:rsid w:val="00971480"/>
    <w:rsid w:val="009737A3"/>
    <w:rsid w:val="009834B6"/>
    <w:rsid w:val="0098704A"/>
    <w:rsid w:val="009878CD"/>
    <w:rsid w:val="009939E4"/>
    <w:rsid w:val="00994C35"/>
    <w:rsid w:val="0099719D"/>
    <w:rsid w:val="009A00FA"/>
    <w:rsid w:val="009A1371"/>
    <w:rsid w:val="009A19A7"/>
    <w:rsid w:val="009A5AD2"/>
    <w:rsid w:val="009A6458"/>
    <w:rsid w:val="009B22AE"/>
    <w:rsid w:val="009B2AD6"/>
    <w:rsid w:val="009B3D04"/>
    <w:rsid w:val="009B6322"/>
    <w:rsid w:val="009B6D49"/>
    <w:rsid w:val="009C15A3"/>
    <w:rsid w:val="009C3A89"/>
    <w:rsid w:val="009C7689"/>
    <w:rsid w:val="009C7959"/>
    <w:rsid w:val="009D153B"/>
    <w:rsid w:val="009D1C75"/>
    <w:rsid w:val="009D2CF4"/>
    <w:rsid w:val="009D7D1F"/>
    <w:rsid w:val="009E1255"/>
    <w:rsid w:val="009E18C5"/>
    <w:rsid w:val="009E3578"/>
    <w:rsid w:val="009E3A9F"/>
    <w:rsid w:val="009E7339"/>
    <w:rsid w:val="009F38D5"/>
    <w:rsid w:val="009F5A00"/>
    <w:rsid w:val="00A004F8"/>
    <w:rsid w:val="00A04761"/>
    <w:rsid w:val="00A06186"/>
    <w:rsid w:val="00A11326"/>
    <w:rsid w:val="00A17393"/>
    <w:rsid w:val="00A2036F"/>
    <w:rsid w:val="00A21903"/>
    <w:rsid w:val="00A23399"/>
    <w:rsid w:val="00A2448D"/>
    <w:rsid w:val="00A24C8B"/>
    <w:rsid w:val="00A3039F"/>
    <w:rsid w:val="00A31356"/>
    <w:rsid w:val="00A32E66"/>
    <w:rsid w:val="00A36640"/>
    <w:rsid w:val="00A368C3"/>
    <w:rsid w:val="00A378CF"/>
    <w:rsid w:val="00A427C1"/>
    <w:rsid w:val="00A436CE"/>
    <w:rsid w:val="00A43E3E"/>
    <w:rsid w:val="00A44754"/>
    <w:rsid w:val="00A453F9"/>
    <w:rsid w:val="00A4766D"/>
    <w:rsid w:val="00A5028D"/>
    <w:rsid w:val="00A518EF"/>
    <w:rsid w:val="00A5441A"/>
    <w:rsid w:val="00A556A6"/>
    <w:rsid w:val="00A71D37"/>
    <w:rsid w:val="00A73BF8"/>
    <w:rsid w:val="00A74833"/>
    <w:rsid w:val="00A826B8"/>
    <w:rsid w:val="00A850CC"/>
    <w:rsid w:val="00A90D57"/>
    <w:rsid w:val="00A917AD"/>
    <w:rsid w:val="00A94E6D"/>
    <w:rsid w:val="00AA01DE"/>
    <w:rsid w:val="00AA51F9"/>
    <w:rsid w:val="00AB04A2"/>
    <w:rsid w:val="00AB24E0"/>
    <w:rsid w:val="00AB2F7D"/>
    <w:rsid w:val="00AB2FE8"/>
    <w:rsid w:val="00AB5F6B"/>
    <w:rsid w:val="00AB6F18"/>
    <w:rsid w:val="00AC1678"/>
    <w:rsid w:val="00AC1A93"/>
    <w:rsid w:val="00AC7FA0"/>
    <w:rsid w:val="00AD010B"/>
    <w:rsid w:val="00AD7409"/>
    <w:rsid w:val="00AE0157"/>
    <w:rsid w:val="00AE41C0"/>
    <w:rsid w:val="00AE7899"/>
    <w:rsid w:val="00AF21EC"/>
    <w:rsid w:val="00AF5E04"/>
    <w:rsid w:val="00AF676A"/>
    <w:rsid w:val="00AF766E"/>
    <w:rsid w:val="00B0158D"/>
    <w:rsid w:val="00B16437"/>
    <w:rsid w:val="00B217D4"/>
    <w:rsid w:val="00B31E09"/>
    <w:rsid w:val="00B3475F"/>
    <w:rsid w:val="00B36789"/>
    <w:rsid w:val="00B36D49"/>
    <w:rsid w:val="00B4281E"/>
    <w:rsid w:val="00B43F69"/>
    <w:rsid w:val="00B44EF6"/>
    <w:rsid w:val="00B4527A"/>
    <w:rsid w:val="00B53BBB"/>
    <w:rsid w:val="00B569A7"/>
    <w:rsid w:val="00B570FC"/>
    <w:rsid w:val="00B604D4"/>
    <w:rsid w:val="00B609E9"/>
    <w:rsid w:val="00B67D6D"/>
    <w:rsid w:val="00B71AE3"/>
    <w:rsid w:val="00B73494"/>
    <w:rsid w:val="00B74842"/>
    <w:rsid w:val="00B77F10"/>
    <w:rsid w:val="00B804E2"/>
    <w:rsid w:val="00B871A5"/>
    <w:rsid w:val="00B90543"/>
    <w:rsid w:val="00B925AB"/>
    <w:rsid w:val="00B96A3E"/>
    <w:rsid w:val="00BA0501"/>
    <w:rsid w:val="00BA0E0B"/>
    <w:rsid w:val="00BA2B94"/>
    <w:rsid w:val="00BA2EAA"/>
    <w:rsid w:val="00BA71F2"/>
    <w:rsid w:val="00BA7538"/>
    <w:rsid w:val="00BB0A64"/>
    <w:rsid w:val="00BC0228"/>
    <w:rsid w:val="00BC2F68"/>
    <w:rsid w:val="00BC4346"/>
    <w:rsid w:val="00BC4480"/>
    <w:rsid w:val="00BC537E"/>
    <w:rsid w:val="00BC7A4C"/>
    <w:rsid w:val="00BD0F98"/>
    <w:rsid w:val="00BD71A8"/>
    <w:rsid w:val="00BE1045"/>
    <w:rsid w:val="00BE1FAE"/>
    <w:rsid w:val="00BE2E1A"/>
    <w:rsid w:val="00BE40D3"/>
    <w:rsid w:val="00BE5E00"/>
    <w:rsid w:val="00BF1B9F"/>
    <w:rsid w:val="00BF3EF6"/>
    <w:rsid w:val="00BF5A2B"/>
    <w:rsid w:val="00BF5FCC"/>
    <w:rsid w:val="00C00481"/>
    <w:rsid w:val="00C015F9"/>
    <w:rsid w:val="00C01B87"/>
    <w:rsid w:val="00C078B3"/>
    <w:rsid w:val="00C10D37"/>
    <w:rsid w:val="00C1155D"/>
    <w:rsid w:val="00C1170E"/>
    <w:rsid w:val="00C20CCA"/>
    <w:rsid w:val="00C22B75"/>
    <w:rsid w:val="00C27142"/>
    <w:rsid w:val="00C2766A"/>
    <w:rsid w:val="00C34F26"/>
    <w:rsid w:val="00C370F9"/>
    <w:rsid w:val="00C411DE"/>
    <w:rsid w:val="00C52262"/>
    <w:rsid w:val="00C54429"/>
    <w:rsid w:val="00C65FE1"/>
    <w:rsid w:val="00C71E3C"/>
    <w:rsid w:val="00C75A2F"/>
    <w:rsid w:val="00C851F6"/>
    <w:rsid w:val="00C90AE9"/>
    <w:rsid w:val="00C94406"/>
    <w:rsid w:val="00CA01DC"/>
    <w:rsid w:val="00CA31E1"/>
    <w:rsid w:val="00CA3FFF"/>
    <w:rsid w:val="00CA4CAD"/>
    <w:rsid w:val="00CA4FDF"/>
    <w:rsid w:val="00CA731F"/>
    <w:rsid w:val="00CB0BEA"/>
    <w:rsid w:val="00CB2DAC"/>
    <w:rsid w:val="00CB30AE"/>
    <w:rsid w:val="00CB46F9"/>
    <w:rsid w:val="00CB49EA"/>
    <w:rsid w:val="00CB4FCF"/>
    <w:rsid w:val="00CB7FC5"/>
    <w:rsid w:val="00CC00EA"/>
    <w:rsid w:val="00CC057D"/>
    <w:rsid w:val="00CD0581"/>
    <w:rsid w:val="00CD1D07"/>
    <w:rsid w:val="00CD2050"/>
    <w:rsid w:val="00CD3E3D"/>
    <w:rsid w:val="00CD4D42"/>
    <w:rsid w:val="00CD6954"/>
    <w:rsid w:val="00CD74DB"/>
    <w:rsid w:val="00CE0523"/>
    <w:rsid w:val="00CE2E2B"/>
    <w:rsid w:val="00CF0092"/>
    <w:rsid w:val="00CF0C6F"/>
    <w:rsid w:val="00CF1592"/>
    <w:rsid w:val="00CF230D"/>
    <w:rsid w:val="00CF62D9"/>
    <w:rsid w:val="00CF6B10"/>
    <w:rsid w:val="00CF7BE0"/>
    <w:rsid w:val="00D00F35"/>
    <w:rsid w:val="00D0574E"/>
    <w:rsid w:val="00D06819"/>
    <w:rsid w:val="00D070EE"/>
    <w:rsid w:val="00D07206"/>
    <w:rsid w:val="00D07ADA"/>
    <w:rsid w:val="00D1091E"/>
    <w:rsid w:val="00D14AC8"/>
    <w:rsid w:val="00D15A00"/>
    <w:rsid w:val="00D169C1"/>
    <w:rsid w:val="00D221CD"/>
    <w:rsid w:val="00D2224D"/>
    <w:rsid w:val="00D22529"/>
    <w:rsid w:val="00D2694D"/>
    <w:rsid w:val="00D27761"/>
    <w:rsid w:val="00D31F0F"/>
    <w:rsid w:val="00D34A78"/>
    <w:rsid w:val="00D4685D"/>
    <w:rsid w:val="00D47448"/>
    <w:rsid w:val="00D521ED"/>
    <w:rsid w:val="00D523A2"/>
    <w:rsid w:val="00D60EC1"/>
    <w:rsid w:val="00D6304A"/>
    <w:rsid w:val="00D677F9"/>
    <w:rsid w:val="00D76350"/>
    <w:rsid w:val="00D76BC3"/>
    <w:rsid w:val="00D82EAE"/>
    <w:rsid w:val="00D8728A"/>
    <w:rsid w:val="00D92693"/>
    <w:rsid w:val="00D932A7"/>
    <w:rsid w:val="00D93CBC"/>
    <w:rsid w:val="00D96502"/>
    <w:rsid w:val="00DA05C5"/>
    <w:rsid w:val="00DA3CC7"/>
    <w:rsid w:val="00DA4C61"/>
    <w:rsid w:val="00DB01AE"/>
    <w:rsid w:val="00DB2807"/>
    <w:rsid w:val="00DB5D30"/>
    <w:rsid w:val="00DE49D3"/>
    <w:rsid w:val="00DE4CE5"/>
    <w:rsid w:val="00DE52CA"/>
    <w:rsid w:val="00DF2211"/>
    <w:rsid w:val="00DF452B"/>
    <w:rsid w:val="00DF6F70"/>
    <w:rsid w:val="00E04005"/>
    <w:rsid w:val="00E1507D"/>
    <w:rsid w:val="00E17A15"/>
    <w:rsid w:val="00E22362"/>
    <w:rsid w:val="00E25FF2"/>
    <w:rsid w:val="00E2617D"/>
    <w:rsid w:val="00E2629F"/>
    <w:rsid w:val="00E30278"/>
    <w:rsid w:val="00E307A9"/>
    <w:rsid w:val="00E3405C"/>
    <w:rsid w:val="00E36216"/>
    <w:rsid w:val="00E37ADA"/>
    <w:rsid w:val="00E43C0A"/>
    <w:rsid w:val="00E457CD"/>
    <w:rsid w:val="00E4642C"/>
    <w:rsid w:val="00E51391"/>
    <w:rsid w:val="00E605C9"/>
    <w:rsid w:val="00E614C2"/>
    <w:rsid w:val="00E62504"/>
    <w:rsid w:val="00E62891"/>
    <w:rsid w:val="00E62AED"/>
    <w:rsid w:val="00E65F0C"/>
    <w:rsid w:val="00E7094C"/>
    <w:rsid w:val="00E7138D"/>
    <w:rsid w:val="00E85F7B"/>
    <w:rsid w:val="00E9083C"/>
    <w:rsid w:val="00E91A90"/>
    <w:rsid w:val="00E95032"/>
    <w:rsid w:val="00EA0D4F"/>
    <w:rsid w:val="00EA17C3"/>
    <w:rsid w:val="00EA1F05"/>
    <w:rsid w:val="00EA77A7"/>
    <w:rsid w:val="00EB2EF6"/>
    <w:rsid w:val="00EC1EF1"/>
    <w:rsid w:val="00EC5E22"/>
    <w:rsid w:val="00EC7DFD"/>
    <w:rsid w:val="00ED08E9"/>
    <w:rsid w:val="00ED772F"/>
    <w:rsid w:val="00EE171D"/>
    <w:rsid w:val="00EE1BDF"/>
    <w:rsid w:val="00EE7B5C"/>
    <w:rsid w:val="00EF0CB3"/>
    <w:rsid w:val="00EF3ED8"/>
    <w:rsid w:val="00F000B0"/>
    <w:rsid w:val="00F0543D"/>
    <w:rsid w:val="00F05782"/>
    <w:rsid w:val="00F12B77"/>
    <w:rsid w:val="00F17688"/>
    <w:rsid w:val="00F20483"/>
    <w:rsid w:val="00F22EF0"/>
    <w:rsid w:val="00F37E82"/>
    <w:rsid w:val="00F414E1"/>
    <w:rsid w:val="00F429CD"/>
    <w:rsid w:val="00F42EBD"/>
    <w:rsid w:val="00F47D1B"/>
    <w:rsid w:val="00F52322"/>
    <w:rsid w:val="00F54253"/>
    <w:rsid w:val="00F54D7A"/>
    <w:rsid w:val="00F561D9"/>
    <w:rsid w:val="00F66F8B"/>
    <w:rsid w:val="00F72AEB"/>
    <w:rsid w:val="00F73CCA"/>
    <w:rsid w:val="00F80B27"/>
    <w:rsid w:val="00F81DDD"/>
    <w:rsid w:val="00F82B31"/>
    <w:rsid w:val="00F85E7E"/>
    <w:rsid w:val="00F86983"/>
    <w:rsid w:val="00F87961"/>
    <w:rsid w:val="00F903E6"/>
    <w:rsid w:val="00F94F7B"/>
    <w:rsid w:val="00FA4FE3"/>
    <w:rsid w:val="00FA73E0"/>
    <w:rsid w:val="00FB358A"/>
    <w:rsid w:val="00FB6391"/>
    <w:rsid w:val="00FB76C6"/>
    <w:rsid w:val="00FC143C"/>
    <w:rsid w:val="00FC61CA"/>
    <w:rsid w:val="00FD0DC8"/>
    <w:rsid w:val="00FD30BD"/>
    <w:rsid w:val="00FD52BA"/>
    <w:rsid w:val="00FE2558"/>
    <w:rsid w:val="00FE4DCB"/>
    <w:rsid w:val="00FE6D8A"/>
    <w:rsid w:val="00FE6E83"/>
    <w:rsid w:val="00FF21A3"/>
    <w:rsid w:val="00FF3BCA"/>
    <w:rsid w:val="00FF5A41"/>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F2"/>
    <w:pPr>
      <w:spacing w:before="120" w:after="120" w:line="280" w:lineRule="exact"/>
      <w:jc w:val="both"/>
    </w:pPr>
    <w:rPr>
      <w:sz w:val="24"/>
      <w:lang w:val="en-GB"/>
    </w:rPr>
  </w:style>
  <w:style w:type="paragraph" w:styleId="Naslov1">
    <w:name w:val="heading 1"/>
    <w:basedOn w:val="Normal"/>
    <w:next w:val="Normal"/>
    <w:link w:val="Naslov1Char"/>
    <w:qFormat/>
    <w:rsid w:val="000711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492A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nhideWhenUsed/>
    <w:qFormat/>
    <w:rsid w:val="0055506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3563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711A3"/>
    <w:rPr>
      <w:rFonts w:asciiTheme="majorHAnsi" w:eastAsiaTheme="majorEastAsia" w:hAnsiTheme="majorHAnsi" w:cstheme="majorBidi"/>
      <w:b/>
      <w:bCs/>
      <w:color w:val="365F91" w:themeColor="accent1" w:themeShade="BF"/>
      <w:sz w:val="28"/>
      <w:szCs w:val="28"/>
      <w:lang w:val="en-GB"/>
    </w:rPr>
  </w:style>
  <w:style w:type="paragraph" w:styleId="Tekstfusnote">
    <w:name w:val="footnote text"/>
    <w:basedOn w:val="Normal"/>
    <w:link w:val="TekstfusnoteChar"/>
    <w:uiPriority w:val="99"/>
    <w:unhideWhenUsed/>
    <w:rsid w:val="007D2C79"/>
    <w:pPr>
      <w:spacing w:line="240" w:lineRule="auto"/>
    </w:pPr>
    <w:rPr>
      <w:sz w:val="20"/>
    </w:rPr>
  </w:style>
  <w:style w:type="character" w:customStyle="1" w:styleId="TekstfusnoteChar">
    <w:name w:val="Tekst fusnote Char"/>
    <w:basedOn w:val="Zadanifontodlomka"/>
    <w:link w:val="Tekstfusnote"/>
    <w:uiPriority w:val="99"/>
    <w:rsid w:val="007D2C79"/>
    <w:rPr>
      <w:rFonts w:ascii="ProseAntique" w:hAnsi="ProseAntique"/>
      <w:lang w:val="en-GB"/>
    </w:rPr>
  </w:style>
  <w:style w:type="character" w:styleId="Referencafusnote">
    <w:name w:val="footnote reference"/>
    <w:basedOn w:val="Zadanifontodlomka"/>
    <w:uiPriority w:val="99"/>
    <w:semiHidden/>
    <w:unhideWhenUsed/>
    <w:rsid w:val="007D2C79"/>
    <w:rPr>
      <w:vertAlign w:val="superscript"/>
    </w:rPr>
  </w:style>
  <w:style w:type="character" w:styleId="Hiperveza">
    <w:name w:val="Hyperlink"/>
    <w:basedOn w:val="Zadanifontodlomka"/>
    <w:uiPriority w:val="99"/>
    <w:unhideWhenUsed/>
    <w:rsid w:val="007D2C79"/>
    <w:rPr>
      <w:color w:val="0000FF" w:themeColor="hyperlink"/>
      <w:u w:val="single"/>
    </w:rPr>
  </w:style>
  <w:style w:type="character" w:customStyle="1" w:styleId="affairetitle">
    <w:name w:val="affaire_title"/>
    <w:basedOn w:val="Zadanifontodlomka"/>
    <w:rsid w:val="00356390"/>
  </w:style>
  <w:style w:type="paragraph" w:styleId="Naslov">
    <w:name w:val="Title"/>
    <w:basedOn w:val="Normal"/>
    <w:next w:val="Normal"/>
    <w:link w:val="NaslovChar"/>
    <w:qFormat/>
    <w:rsid w:val="003563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356390"/>
    <w:rPr>
      <w:rFonts w:asciiTheme="majorHAnsi" w:eastAsiaTheme="majorEastAsia" w:hAnsiTheme="majorHAnsi" w:cstheme="majorBidi"/>
      <w:color w:val="17365D" w:themeColor="text2" w:themeShade="BF"/>
      <w:spacing w:val="5"/>
      <w:kern w:val="28"/>
      <w:sz w:val="52"/>
      <w:szCs w:val="52"/>
      <w:lang w:val="en-GB"/>
    </w:rPr>
  </w:style>
  <w:style w:type="character" w:customStyle="1" w:styleId="Naslov4Char">
    <w:name w:val="Naslov 4 Char"/>
    <w:basedOn w:val="Zadanifontodlomka"/>
    <w:link w:val="Naslov4"/>
    <w:rsid w:val="00356390"/>
    <w:rPr>
      <w:rFonts w:asciiTheme="majorHAnsi" w:eastAsiaTheme="majorEastAsia" w:hAnsiTheme="majorHAnsi" w:cstheme="majorBidi"/>
      <w:b/>
      <w:bCs/>
      <w:i/>
      <w:iCs/>
      <w:color w:val="4F81BD" w:themeColor="accent1"/>
      <w:sz w:val="24"/>
      <w:lang w:val="en-GB"/>
    </w:rPr>
  </w:style>
  <w:style w:type="character" w:customStyle="1" w:styleId="Naslov2Char">
    <w:name w:val="Naslov 2 Char"/>
    <w:basedOn w:val="Zadanifontodlomka"/>
    <w:link w:val="Naslov2"/>
    <w:rsid w:val="00492A59"/>
    <w:rPr>
      <w:rFonts w:asciiTheme="majorHAnsi" w:eastAsiaTheme="majorEastAsia" w:hAnsiTheme="majorHAnsi" w:cstheme="majorBidi"/>
      <w:b/>
      <w:bCs/>
      <w:color w:val="4F81BD" w:themeColor="accent1"/>
      <w:sz w:val="26"/>
      <w:szCs w:val="26"/>
      <w:lang w:val="en-GB"/>
    </w:rPr>
  </w:style>
  <w:style w:type="paragraph" w:styleId="Zaglavlje">
    <w:name w:val="header"/>
    <w:basedOn w:val="Normal"/>
    <w:link w:val="ZaglavljeChar"/>
    <w:uiPriority w:val="99"/>
    <w:unhideWhenUsed/>
    <w:rsid w:val="00492A59"/>
    <w:pPr>
      <w:tabs>
        <w:tab w:val="center" w:pos="4536"/>
        <w:tab w:val="right" w:pos="9072"/>
      </w:tabs>
      <w:spacing w:line="240" w:lineRule="auto"/>
    </w:pPr>
  </w:style>
  <w:style w:type="character" w:customStyle="1" w:styleId="ZaglavljeChar">
    <w:name w:val="Zaglavlje Char"/>
    <w:basedOn w:val="Zadanifontodlomka"/>
    <w:link w:val="Zaglavlje"/>
    <w:uiPriority w:val="99"/>
    <w:rsid w:val="00492A59"/>
    <w:rPr>
      <w:rFonts w:ascii="ProseAntique" w:hAnsi="ProseAntique"/>
      <w:sz w:val="24"/>
      <w:lang w:val="en-GB"/>
    </w:rPr>
  </w:style>
  <w:style w:type="paragraph" w:styleId="Podnoje">
    <w:name w:val="footer"/>
    <w:basedOn w:val="Normal"/>
    <w:link w:val="PodnojeChar"/>
    <w:uiPriority w:val="99"/>
    <w:unhideWhenUsed/>
    <w:rsid w:val="00492A59"/>
    <w:pPr>
      <w:tabs>
        <w:tab w:val="center" w:pos="4536"/>
        <w:tab w:val="right" w:pos="9072"/>
      </w:tabs>
      <w:spacing w:line="240" w:lineRule="auto"/>
    </w:pPr>
  </w:style>
  <w:style w:type="character" w:customStyle="1" w:styleId="PodnojeChar">
    <w:name w:val="Podnožje Char"/>
    <w:basedOn w:val="Zadanifontodlomka"/>
    <w:link w:val="Podnoje"/>
    <w:uiPriority w:val="99"/>
    <w:rsid w:val="00492A59"/>
    <w:rPr>
      <w:rFonts w:ascii="ProseAntique" w:hAnsi="ProseAntique"/>
      <w:sz w:val="24"/>
      <w:lang w:val="en-GB"/>
    </w:rPr>
  </w:style>
  <w:style w:type="paragraph" w:styleId="Bezproreda">
    <w:name w:val="No Spacing"/>
    <w:link w:val="BezproredaChar"/>
    <w:uiPriority w:val="1"/>
    <w:qFormat/>
    <w:rsid w:val="00F94F7B"/>
    <w:rPr>
      <w:rFonts w:asciiTheme="minorHAnsi" w:eastAsiaTheme="minorEastAsia" w:hAnsiTheme="minorHAnsi" w:cstheme="minorBidi"/>
      <w:sz w:val="22"/>
      <w:szCs w:val="22"/>
      <w:lang w:eastAsia="hr-HR"/>
    </w:rPr>
  </w:style>
  <w:style w:type="character" w:customStyle="1" w:styleId="BezproredaChar">
    <w:name w:val="Bez proreda Char"/>
    <w:basedOn w:val="Zadanifontodlomka"/>
    <w:link w:val="Bezproreda"/>
    <w:uiPriority w:val="1"/>
    <w:rsid w:val="00F94F7B"/>
    <w:rPr>
      <w:rFonts w:asciiTheme="minorHAnsi" w:eastAsiaTheme="minorEastAsia" w:hAnsiTheme="minorHAnsi" w:cstheme="minorBidi"/>
      <w:sz w:val="22"/>
      <w:szCs w:val="22"/>
      <w:lang w:eastAsia="hr-HR"/>
    </w:rPr>
  </w:style>
  <w:style w:type="paragraph" w:styleId="Tekstbalonia">
    <w:name w:val="Balloon Text"/>
    <w:basedOn w:val="Normal"/>
    <w:link w:val="TekstbaloniaChar"/>
    <w:uiPriority w:val="99"/>
    <w:semiHidden/>
    <w:unhideWhenUsed/>
    <w:rsid w:val="00F94F7B"/>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94F7B"/>
    <w:rPr>
      <w:rFonts w:ascii="Tahoma" w:hAnsi="Tahoma" w:cs="Tahoma"/>
      <w:sz w:val="16"/>
      <w:szCs w:val="16"/>
      <w:lang w:val="en-GB"/>
    </w:rPr>
  </w:style>
  <w:style w:type="paragraph" w:styleId="TOCNaslov">
    <w:name w:val="TOC Heading"/>
    <w:basedOn w:val="Naslov1"/>
    <w:next w:val="Normal"/>
    <w:uiPriority w:val="39"/>
    <w:semiHidden/>
    <w:unhideWhenUsed/>
    <w:qFormat/>
    <w:rsid w:val="000E5E47"/>
    <w:pPr>
      <w:spacing w:line="276" w:lineRule="auto"/>
      <w:jc w:val="left"/>
      <w:outlineLvl w:val="9"/>
    </w:pPr>
    <w:rPr>
      <w:lang w:val="hr-HR" w:eastAsia="hr-HR"/>
    </w:rPr>
  </w:style>
  <w:style w:type="paragraph" w:styleId="Sadraj1">
    <w:name w:val="toc 1"/>
    <w:basedOn w:val="Normal"/>
    <w:next w:val="Normal"/>
    <w:autoRedefine/>
    <w:uiPriority w:val="39"/>
    <w:unhideWhenUsed/>
    <w:rsid w:val="000E5E47"/>
    <w:pPr>
      <w:spacing w:after="100"/>
    </w:pPr>
  </w:style>
  <w:style w:type="paragraph" w:styleId="Sadraj2">
    <w:name w:val="toc 2"/>
    <w:basedOn w:val="Normal"/>
    <w:next w:val="Normal"/>
    <w:autoRedefine/>
    <w:uiPriority w:val="39"/>
    <w:unhideWhenUsed/>
    <w:rsid w:val="000E5E47"/>
    <w:pPr>
      <w:spacing w:after="100"/>
      <w:ind w:left="240"/>
    </w:pPr>
  </w:style>
  <w:style w:type="paragraph" w:styleId="Odlomakpopisa">
    <w:name w:val="List Paragraph"/>
    <w:basedOn w:val="Normal"/>
    <w:uiPriority w:val="34"/>
    <w:qFormat/>
    <w:rsid w:val="005661C1"/>
    <w:pPr>
      <w:ind w:left="720"/>
      <w:contextualSpacing/>
    </w:pPr>
  </w:style>
  <w:style w:type="paragraph" w:customStyle="1" w:styleId="c02alineaalta">
    <w:name w:val="c02alineaalta"/>
    <w:basedOn w:val="Normal"/>
    <w:rsid w:val="008152B1"/>
    <w:pPr>
      <w:spacing w:before="100" w:beforeAutospacing="1" w:after="100" w:afterAutospacing="1" w:line="240" w:lineRule="auto"/>
      <w:jc w:val="left"/>
    </w:pPr>
    <w:rPr>
      <w:szCs w:val="24"/>
      <w:lang w:val="hr-HR" w:eastAsia="hr-HR"/>
    </w:rPr>
  </w:style>
  <w:style w:type="character" w:customStyle="1" w:styleId="addmd">
    <w:name w:val="addmd"/>
    <w:basedOn w:val="Zadanifontodlomka"/>
    <w:rsid w:val="00B0158D"/>
  </w:style>
  <w:style w:type="character" w:styleId="Naglaeno">
    <w:name w:val="Strong"/>
    <w:basedOn w:val="Zadanifontodlomka"/>
    <w:uiPriority w:val="22"/>
    <w:qFormat/>
    <w:rsid w:val="00B0158D"/>
    <w:rPr>
      <w:b/>
      <w:bCs/>
    </w:rPr>
  </w:style>
  <w:style w:type="character" w:customStyle="1" w:styleId="Naslov3Char">
    <w:name w:val="Naslov 3 Char"/>
    <w:basedOn w:val="Zadanifontodlomka"/>
    <w:link w:val="Naslov3"/>
    <w:rsid w:val="00555067"/>
    <w:rPr>
      <w:rFonts w:asciiTheme="majorHAnsi" w:eastAsiaTheme="majorEastAsia" w:hAnsiTheme="majorHAnsi" w:cstheme="majorBidi"/>
      <w:b/>
      <w:bCs/>
      <w:color w:val="4F81BD" w:themeColor="accent1"/>
      <w:sz w:val="24"/>
      <w:lang w:val="en-GB"/>
    </w:rPr>
  </w:style>
  <w:style w:type="paragraph" w:customStyle="1" w:styleId="c01pointnumerotealtn">
    <w:name w:val="c01pointnumerotealtn"/>
    <w:basedOn w:val="Normal"/>
    <w:rsid w:val="00EA1F05"/>
    <w:pPr>
      <w:spacing w:before="100" w:beforeAutospacing="1" w:after="100" w:afterAutospacing="1" w:line="240" w:lineRule="auto"/>
      <w:jc w:val="left"/>
    </w:pPr>
    <w:rPr>
      <w:szCs w:val="24"/>
      <w:lang w:val="hr-HR" w:eastAsia="hr-HR"/>
    </w:rPr>
  </w:style>
  <w:style w:type="character" w:styleId="Istaknuto">
    <w:name w:val="Emphasis"/>
    <w:basedOn w:val="Zadanifontodlomka"/>
    <w:uiPriority w:val="20"/>
    <w:qFormat/>
    <w:rsid w:val="002415CF"/>
    <w:rPr>
      <w:i/>
      <w:iCs/>
    </w:rPr>
  </w:style>
  <w:style w:type="paragraph" w:customStyle="1" w:styleId="004Objet">
    <w:name w:val="004_Objet"/>
    <w:basedOn w:val="Normal"/>
    <w:next w:val="Normal"/>
    <w:uiPriority w:val="99"/>
    <w:rsid w:val="002415CF"/>
    <w:pPr>
      <w:autoSpaceDE w:val="0"/>
      <w:autoSpaceDN w:val="0"/>
      <w:adjustRightInd w:val="0"/>
      <w:spacing w:line="240" w:lineRule="auto"/>
      <w:jc w:val="left"/>
    </w:pPr>
    <w:rPr>
      <w:rFonts w:ascii="Arial" w:eastAsiaTheme="minorHAnsi" w:hAnsi="Arial" w:cs="Arial"/>
      <w:szCs w:val="24"/>
      <w:lang w:val="hr-HR"/>
    </w:rPr>
  </w:style>
  <w:style w:type="paragraph" w:styleId="Sadraj3">
    <w:name w:val="toc 3"/>
    <w:basedOn w:val="Normal"/>
    <w:next w:val="Normal"/>
    <w:autoRedefine/>
    <w:uiPriority w:val="39"/>
    <w:unhideWhenUsed/>
    <w:rsid w:val="00FA4FE3"/>
    <w:pPr>
      <w:spacing w:after="100"/>
      <w:ind w:left="480"/>
    </w:pPr>
  </w:style>
  <w:style w:type="paragraph" w:customStyle="1" w:styleId="Default">
    <w:name w:val="Default"/>
    <w:rsid w:val="00555A35"/>
    <w:pPr>
      <w:autoSpaceDE w:val="0"/>
      <w:autoSpaceDN w:val="0"/>
      <w:adjustRightInd w:val="0"/>
    </w:pPr>
    <w:rPr>
      <w:rFonts w:ascii="Corbel" w:hAnsi="Corbel" w:cs="Corbel"/>
      <w:color w:val="000000"/>
      <w:sz w:val="24"/>
      <w:szCs w:val="24"/>
    </w:rPr>
  </w:style>
  <w:style w:type="paragraph" w:customStyle="1" w:styleId="s73alineacentregras">
    <w:name w:val="s73alineacentregras"/>
    <w:basedOn w:val="Normal"/>
    <w:uiPriority w:val="99"/>
    <w:rsid w:val="00BE5E00"/>
    <w:pPr>
      <w:spacing w:before="100" w:beforeAutospacing="1" w:after="100" w:afterAutospacing="1" w:line="240" w:lineRule="auto"/>
      <w:jc w:val="left"/>
    </w:pPr>
    <w:rPr>
      <w:szCs w:val="24"/>
      <w:lang w:eastAsia="en-GB"/>
    </w:rPr>
  </w:style>
  <w:style w:type="paragraph" w:styleId="StandardWeb">
    <w:name w:val="Normal (Web)"/>
    <w:basedOn w:val="Normal"/>
    <w:uiPriority w:val="99"/>
    <w:rsid w:val="00BE5E00"/>
    <w:pPr>
      <w:spacing w:before="100" w:beforeAutospacing="1" w:after="100" w:afterAutospacing="1" w:line="240" w:lineRule="auto"/>
      <w:jc w:val="left"/>
    </w:pPr>
    <w:rPr>
      <w:szCs w:val="24"/>
      <w:lang w:val="hr-HR" w:eastAsia="hr-HR"/>
    </w:rPr>
  </w:style>
  <w:style w:type="paragraph" w:customStyle="1" w:styleId="bold">
    <w:name w:val="bold"/>
    <w:basedOn w:val="Normal"/>
    <w:rsid w:val="0081680C"/>
    <w:pPr>
      <w:spacing w:before="100" w:beforeAutospacing="1" w:after="100" w:afterAutospacing="1" w:line="240" w:lineRule="auto"/>
      <w:jc w:val="left"/>
    </w:pPr>
    <w:rPr>
      <w:szCs w:val="24"/>
      <w:lang w:val="hr-HR" w:eastAsia="hr-HR"/>
    </w:rPr>
  </w:style>
  <w:style w:type="character" w:styleId="Referencakrajnjebiljeke">
    <w:name w:val="endnote reference"/>
    <w:uiPriority w:val="99"/>
    <w:rsid w:val="00D677F9"/>
    <w:rPr>
      <w:color w:val="000000"/>
    </w:rPr>
  </w:style>
  <w:style w:type="character" w:customStyle="1" w:styleId="name">
    <w:name w:val="name"/>
    <w:basedOn w:val="Zadanifontodlomka"/>
    <w:rsid w:val="00E605C9"/>
  </w:style>
  <w:style w:type="character" w:styleId="HTML-navod">
    <w:name w:val="HTML Cite"/>
    <w:basedOn w:val="Zadanifontodlomka"/>
    <w:uiPriority w:val="99"/>
    <w:semiHidden/>
    <w:unhideWhenUsed/>
    <w:rsid w:val="00E605C9"/>
    <w:rPr>
      <w:i/>
      <w:iCs/>
    </w:rPr>
  </w:style>
  <w:style w:type="character" w:customStyle="1" w:styleId="slug-pub-date">
    <w:name w:val="slug-pub-date"/>
    <w:basedOn w:val="Zadanifontodlomka"/>
    <w:rsid w:val="00E605C9"/>
  </w:style>
  <w:style w:type="character" w:customStyle="1" w:styleId="slug-vol">
    <w:name w:val="slug-vol"/>
    <w:basedOn w:val="Zadanifontodlomka"/>
    <w:rsid w:val="00E605C9"/>
  </w:style>
  <w:style w:type="character" w:customStyle="1" w:styleId="slug-issue">
    <w:name w:val="slug-issue"/>
    <w:basedOn w:val="Zadanifontodlomka"/>
    <w:rsid w:val="00E605C9"/>
  </w:style>
  <w:style w:type="character" w:customStyle="1" w:styleId="slug-pages">
    <w:name w:val="slug-pages"/>
    <w:basedOn w:val="Zadanifontodlomka"/>
    <w:rsid w:val="00E60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F2"/>
    <w:pPr>
      <w:spacing w:before="120" w:after="120" w:line="280" w:lineRule="exact"/>
      <w:jc w:val="both"/>
    </w:pPr>
    <w:rPr>
      <w:sz w:val="24"/>
      <w:lang w:val="en-GB"/>
    </w:rPr>
  </w:style>
  <w:style w:type="paragraph" w:styleId="Naslov1">
    <w:name w:val="heading 1"/>
    <w:basedOn w:val="Normal"/>
    <w:next w:val="Normal"/>
    <w:link w:val="Naslov1Char"/>
    <w:qFormat/>
    <w:rsid w:val="000711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492A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nhideWhenUsed/>
    <w:qFormat/>
    <w:rsid w:val="0055506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3563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711A3"/>
    <w:rPr>
      <w:rFonts w:asciiTheme="majorHAnsi" w:eastAsiaTheme="majorEastAsia" w:hAnsiTheme="majorHAnsi" w:cstheme="majorBidi"/>
      <w:b/>
      <w:bCs/>
      <w:color w:val="365F91" w:themeColor="accent1" w:themeShade="BF"/>
      <w:sz w:val="28"/>
      <w:szCs w:val="28"/>
      <w:lang w:val="en-GB"/>
    </w:rPr>
  </w:style>
  <w:style w:type="paragraph" w:styleId="Tekstfusnote">
    <w:name w:val="footnote text"/>
    <w:basedOn w:val="Normal"/>
    <w:link w:val="TekstfusnoteChar"/>
    <w:uiPriority w:val="99"/>
    <w:unhideWhenUsed/>
    <w:rsid w:val="007D2C79"/>
    <w:pPr>
      <w:spacing w:line="240" w:lineRule="auto"/>
    </w:pPr>
    <w:rPr>
      <w:sz w:val="20"/>
    </w:rPr>
  </w:style>
  <w:style w:type="character" w:customStyle="1" w:styleId="TekstfusnoteChar">
    <w:name w:val="Tekst fusnote Char"/>
    <w:basedOn w:val="Zadanifontodlomka"/>
    <w:link w:val="Tekstfusnote"/>
    <w:uiPriority w:val="99"/>
    <w:rsid w:val="007D2C79"/>
    <w:rPr>
      <w:rFonts w:ascii="ProseAntique" w:hAnsi="ProseAntique"/>
      <w:lang w:val="en-GB"/>
    </w:rPr>
  </w:style>
  <w:style w:type="character" w:styleId="Referencafusnote">
    <w:name w:val="footnote reference"/>
    <w:basedOn w:val="Zadanifontodlomka"/>
    <w:uiPriority w:val="99"/>
    <w:semiHidden/>
    <w:unhideWhenUsed/>
    <w:rsid w:val="007D2C79"/>
    <w:rPr>
      <w:vertAlign w:val="superscript"/>
    </w:rPr>
  </w:style>
  <w:style w:type="character" w:styleId="Hiperveza">
    <w:name w:val="Hyperlink"/>
    <w:basedOn w:val="Zadanifontodlomka"/>
    <w:uiPriority w:val="99"/>
    <w:unhideWhenUsed/>
    <w:rsid w:val="007D2C79"/>
    <w:rPr>
      <w:color w:val="0000FF" w:themeColor="hyperlink"/>
      <w:u w:val="single"/>
    </w:rPr>
  </w:style>
  <w:style w:type="character" w:customStyle="1" w:styleId="affairetitle">
    <w:name w:val="affaire_title"/>
    <w:basedOn w:val="Zadanifontodlomka"/>
    <w:rsid w:val="00356390"/>
  </w:style>
  <w:style w:type="paragraph" w:styleId="Naslov">
    <w:name w:val="Title"/>
    <w:basedOn w:val="Normal"/>
    <w:next w:val="Normal"/>
    <w:link w:val="NaslovChar"/>
    <w:qFormat/>
    <w:rsid w:val="003563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356390"/>
    <w:rPr>
      <w:rFonts w:asciiTheme="majorHAnsi" w:eastAsiaTheme="majorEastAsia" w:hAnsiTheme="majorHAnsi" w:cstheme="majorBidi"/>
      <w:color w:val="17365D" w:themeColor="text2" w:themeShade="BF"/>
      <w:spacing w:val="5"/>
      <w:kern w:val="28"/>
      <w:sz w:val="52"/>
      <w:szCs w:val="52"/>
      <w:lang w:val="en-GB"/>
    </w:rPr>
  </w:style>
  <w:style w:type="character" w:customStyle="1" w:styleId="Naslov4Char">
    <w:name w:val="Naslov 4 Char"/>
    <w:basedOn w:val="Zadanifontodlomka"/>
    <w:link w:val="Naslov4"/>
    <w:rsid w:val="00356390"/>
    <w:rPr>
      <w:rFonts w:asciiTheme="majorHAnsi" w:eastAsiaTheme="majorEastAsia" w:hAnsiTheme="majorHAnsi" w:cstheme="majorBidi"/>
      <w:b/>
      <w:bCs/>
      <w:i/>
      <w:iCs/>
      <w:color w:val="4F81BD" w:themeColor="accent1"/>
      <w:sz w:val="24"/>
      <w:lang w:val="en-GB"/>
    </w:rPr>
  </w:style>
  <w:style w:type="character" w:customStyle="1" w:styleId="Naslov2Char">
    <w:name w:val="Naslov 2 Char"/>
    <w:basedOn w:val="Zadanifontodlomka"/>
    <w:link w:val="Naslov2"/>
    <w:rsid w:val="00492A59"/>
    <w:rPr>
      <w:rFonts w:asciiTheme="majorHAnsi" w:eastAsiaTheme="majorEastAsia" w:hAnsiTheme="majorHAnsi" w:cstheme="majorBidi"/>
      <w:b/>
      <w:bCs/>
      <w:color w:val="4F81BD" w:themeColor="accent1"/>
      <w:sz w:val="26"/>
      <w:szCs w:val="26"/>
      <w:lang w:val="en-GB"/>
    </w:rPr>
  </w:style>
  <w:style w:type="paragraph" w:styleId="Zaglavlje">
    <w:name w:val="header"/>
    <w:basedOn w:val="Normal"/>
    <w:link w:val="ZaglavljeChar"/>
    <w:uiPriority w:val="99"/>
    <w:unhideWhenUsed/>
    <w:rsid w:val="00492A59"/>
    <w:pPr>
      <w:tabs>
        <w:tab w:val="center" w:pos="4536"/>
        <w:tab w:val="right" w:pos="9072"/>
      </w:tabs>
      <w:spacing w:line="240" w:lineRule="auto"/>
    </w:pPr>
  </w:style>
  <w:style w:type="character" w:customStyle="1" w:styleId="ZaglavljeChar">
    <w:name w:val="Zaglavlje Char"/>
    <w:basedOn w:val="Zadanifontodlomka"/>
    <w:link w:val="Zaglavlje"/>
    <w:uiPriority w:val="99"/>
    <w:rsid w:val="00492A59"/>
    <w:rPr>
      <w:rFonts w:ascii="ProseAntique" w:hAnsi="ProseAntique"/>
      <w:sz w:val="24"/>
      <w:lang w:val="en-GB"/>
    </w:rPr>
  </w:style>
  <w:style w:type="paragraph" w:styleId="Podnoje">
    <w:name w:val="footer"/>
    <w:basedOn w:val="Normal"/>
    <w:link w:val="PodnojeChar"/>
    <w:uiPriority w:val="99"/>
    <w:unhideWhenUsed/>
    <w:rsid w:val="00492A59"/>
    <w:pPr>
      <w:tabs>
        <w:tab w:val="center" w:pos="4536"/>
        <w:tab w:val="right" w:pos="9072"/>
      </w:tabs>
      <w:spacing w:line="240" w:lineRule="auto"/>
    </w:pPr>
  </w:style>
  <w:style w:type="character" w:customStyle="1" w:styleId="PodnojeChar">
    <w:name w:val="Podnožje Char"/>
    <w:basedOn w:val="Zadanifontodlomka"/>
    <w:link w:val="Podnoje"/>
    <w:uiPriority w:val="99"/>
    <w:rsid w:val="00492A59"/>
    <w:rPr>
      <w:rFonts w:ascii="ProseAntique" w:hAnsi="ProseAntique"/>
      <w:sz w:val="24"/>
      <w:lang w:val="en-GB"/>
    </w:rPr>
  </w:style>
  <w:style w:type="paragraph" w:styleId="Bezproreda">
    <w:name w:val="No Spacing"/>
    <w:link w:val="BezproredaChar"/>
    <w:uiPriority w:val="1"/>
    <w:qFormat/>
    <w:rsid w:val="00F94F7B"/>
    <w:rPr>
      <w:rFonts w:asciiTheme="minorHAnsi" w:eastAsiaTheme="minorEastAsia" w:hAnsiTheme="minorHAnsi" w:cstheme="minorBidi"/>
      <w:sz w:val="22"/>
      <w:szCs w:val="22"/>
      <w:lang w:eastAsia="hr-HR"/>
    </w:rPr>
  </w:style>
  <w:style w:type="character" w:customStyle="1" w:styleId="BezproredaChar">
    <w:name w:val="Bez proreda Char"/>
    <w:basedOn w:val="Zadanifontodlomka"/>
    <w:link w:val="Bezproreda"/>
    <w:uiPriority w:val="1"/>
    <w:rsid w:val="00F94F7B"/>
    <w:rPr>
      <w:rFonts w:asciiTheme="minorHAnsi" w:eastAsiaTheme="minorEastAsia" w:hAnsiTheme="minorHAnsi" w:cstheme="minorBidi"/>
      <w:sz w:val="22"/>
      <w:szCs w:val="22"/>
      <w:lang w:eastAsia="hr-HR"/>
    </w:rPr>
  </w:style>
  <w:style w:type="paragraph" w:styleId="Tekstbalonia">
    <w:name w:val="Balloon Text"/>
    <w:basedOn w:val="Normal"/>
    <w:link w:val="TekstbaloniaChar"/>
    <w:uiPriority w:val="99"/>
    <w:semiHidden/>
    <w:unhideWhenUsed/>
    <w:rsid w:val="00F94F7B"/>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94F7B"/>
    <w:rPr>
      <w:rFonts w:ascii="Tahoma" w:hAnsi="Tahoma" w:cs="Tahoma"/>
      <w:sz w:val="16"/>
      <w:szCs w:val="16"/>
      <w:lang w:val="en-GB"/>
    </w:rPr>
  </w:style>
  <w:style w:type="paragraph" w:styleId="TOCNaslov">
    <w:name w:val="TOC Heading"/>
    <w:basedOn w:val="Naslov1"/>
    <w:next w:val="Normal"/>
    <w:uiPriority w:val="39"/>
    <w:semiHidden/>
    <w:unhideWhenUsed/>
    <w:qFormat/>
    <w:rsid w:val="000E5E47"/>
    <w:pPr>
      <w:spacing w:line="276" w:lineRule="auto"/>
      <w:jc w:val="left"/>
      <w:outlineLvl w:val="9"/>
    </w:pPr>
    <w:rPr>
      <w:lang w:val="hr-HR" w:eastAsia="hr-HR"/>
    </w:rPr>
  </w:style>
  <w:style w:type="paragraph" w:styleId="Sadraj1">
    <w:name w:val="toc 1"/>
    <w:basedOn w:val="Normal"/>
    <w:next w:val="Normal"/>
    <w:autoRedefine/>
    <w:uiPriority w:val="39"/>
    <w:unhideWhenUsed/>
    <w:rsid w:val="000E5E47"/>
    <w:pPr>
      <w:spacing w:after="100"/>
    </w:pPr>
  </w:style>
  <w:style w:type="paragraph" w:styleId="Sadraj2">
    <w:name w:val="toc 2"/>
    <w:basedOn w:val="Normal"/>
    <w:next w:val="Normal"/>
    <w:autoRedefine/>
    <w:uiPriority w:val="39"/>
    <w:unhideWhenUsed/>
    <w:rsid w:val="000E5E47"/>
    <w:pPr>
      <w:spacing w:after="100"/>
      <w:ind w:left="240"/>
    </w:pPr>
  </w:style>
  <w:style w:type="paragraph" w:styleId="Odlomakpopisa">
    <w:name w:val="List Paragraph"/>
    <w:basedOn w:val="Normal"/>
    <w:uiPriority w:val="34"/>
    <w:qFormat/>
    <w:rsid w:val="005661C1"/>
    <w:pPr>
      <w:ind w:left="720"/>
      <w:contextualSpacing/>
    </w:pPr>
  </w:style>
  <w:style w:type="paragraph" w:customStyle="1" w:styleId="c02alineaalta">
    <w:name w:val="c02alineaalta"/>
    <w:basedOn w:val="Normal"/>
    <w:rsid w:val="008152B1"/>
    <w:pPr>
      <w:spacing w:before="100" w:beforeAutospacing="1" w:after="100" w:afterAutospacing="1" w:line="240" w:lineRule="auto"/>
      <w:jc w:val="left"/>
    </w:pPr>
    <w:rPr>
      <w:szCs w:val="24"/>
      <w:lang w:val="hr-HR" w:eastAsia="hr-HR"/>
    </w:rPr>
  </w:style>
  <w:style w:type="character" w:customStyle="1" w:styleId="addmd">
    <w:name w:val="addmd"/>
    <w:basedOn w:val="Zadanifontodlomka"/>
    <w:rsid w:val="00B0158D"/>
  </w:style>
  <w:style w:type="character" w:styleId="Naglaeno">
    <w:name w:val="Strong"/>
    <w:basedOn w:val="Zadanifontodlomka"/>
    <w:uiPriority w:val="22"/>
    <w:qFormat/>
    <w:rsid w:val="00B0158D"/>
    <w:rPr>
      <w:b/>
      <w:bCs/>
    </w:rPr>
  </w:style>
  <w:style w:type="character" w:customStyle="1" w:styleId="Naslov3Char">
    <w:name w:val="Naslov 3 Char"/>
    <w:basedOn w:val="Zadanifontodlomka"/>
    <w:link w:val="Naslov3"/>
    <w:rsid w:val="00555067"/>
    <w:rPr>
      <w:rFonts w:asciiTheme="majorHAnsi" w:eastAsiaTheme="majorEastAsia" w:hAnsiTheme="majorHAnsi" w:cstheme="majorBidi"/>
      <w:b/>
      <w:bCs/>
      <w:color w:val="4F81BD" w:themeColor="accent1"/>
      <w:sz w:val="24"/>
      <w:lang w:val="en-GB"/>
    </w:rPr>
  </w:style>
  <w:style w:type="paragraph" w:customStyle="1" w:styleId="c01pointnumerotealtn">
    <w:name w:val="c01pointnumerotealtn"/>
    <w:basedOn w:val="Normal"/>
    <w:rsid w:val="00EA1F05"/>
    <w:pPr>
      <w:spacing w:before="100" w:beforeAutospacing="1" w:after="100" w:afterAutospacing="1" w:line="240" w:lineRule="auto"/>
      <w:jc w:val="left"/>
    </w:pPr>
    <w:rPr>
      <w:szCs w:val="24"/>
      <w:lang w:val="hr-HR" w:eastAsia="hr-HR"/>
    </w:rPr>
  </w:style>
  <w:style w:type="character" w:styleId="Istaknuto">
    <w:name w:val="Emphasis"/>
    <w:basedOn w:val="Zadanifontodlomka"/>
    <w:uiPriority w:val="20"/>
    <w:qFormat/>
    <w:rsid w:val="002415CF"/>
    <w:rPr>
      <w:i/>
      <w:iCs/>
    </w:rPr>
  </w:style>
  <w:style w:type="paragraph" w:customStyle="1" w:styleId="004Objet">
    <w:name w:val="004_Objet"/>
    <w:basedOn w:val="Normal"/>
    <w:next w:val="Normal"/>
    <w:uiPriority w:val="99"/>
    <w:rsid w:val="002415CF"/>
    <w:pPr>
      <w:autoSpaceDE w:val="0"/>
      <w:autoSpaceDN w:val="0"/>
      <w:adjustRightInd w:val="0"/>
      <w:spacing w:line="240" w:lineRule="auto"/>
      <w:jc w:val="left"/>
    </w:pPr>
    <w:rPr>
      <w:rFonts w:ascii="Arial" w:eastAsiaTheme="minorHAnsi" w:hAnsi="Arial" w:cs="Arial"/>
      <w:szCs w:val="24"/>
      <w:lang w:val="hr-HR"/>
    </w:rPr>
  </w:style>
  <w:style w:type="paragraph" w:styleId="Sadraj3">
    <w:name w:val="toc 3"/>
    <w:basedOn w:val="Normal"/>
    <w:next w:val="Normal"/>
    <w:autoRedefine/>
    <w:uiPriority w:val="39"/>
    <w:unhideWhenUsed/>
    <w:rsid w:val="00FA4FE3"/>
    <w:pPr>
      <w:spacing w:after="100"/>
      <w:ind w:left="480"/>
    </w:pPr>
  </w:style>
  <w:style w:type="paragraph" w:customStyle="1" w:styleId="Default">
    <w:name w:val="Default"/>
    <w:rsid w:val="00555A35"/>
    <w:pPr>
      <w:autoSpaceDE w:val="0"/>
      <w:autoSpaceDN w:val="0"/>
      <w:adjustRightInd w:val="0"/>
    </w:pPr>
    <w:rPr>
      <w:rFonts w:ascii="Corbel" w:hAnsi="Corbel" w:cs="Corbel"/>
      <w:color w:val="000000"/>
      <w:sz w:val="24"/>
      <w:szCs w:val="24"/>
    </w:rPr>
  </w:style>
  <w:style w:type="paragraph" w:customStyle="1" w:styleId="s73alineacentregras">
    <w:name w:val="s73alineacentregras"/>
    <w:basedOn w:val="Normal"/>
    <w:uiPriority w:val="99"/>
    <w:rsid w:val="00BE5E00"/>
    <w:pPr>
      <w:spacing w:before="100" w:beforeAutospacing="1" w:after="100" w:afterAutospacing="1" w:line="240" w:lineRule="auto"/>
      <w:jc w:val="left"/>
    </w:pPr>
    <w:rPr>
      <w:szCs w:val="24"/>
      <w:lang w:eastAsia="en-GB"/>
    </w:rPr>
  </w:style>
  <w:style w:type="paragraph" w:styleId="StandardWeb">
    <w:name w:val="Normal (Web)"/>
    <w:basedOn w:val="Normal"/>
    <w:uiPriority w:val="99"/>
    <w:rsid w:val="00BE5E00"/>
    <w:pPr>
      <w:spacing w:before="100" w:beforeAutospacing="1" w:after="100" w:afterAutospacing="1" w:line="240" w:lineRule="auto"/>
      <w:jc w:val="left"/>
    </w:pPr>
    <w:rPr>
      <w:szCs w:val="24"/>
      <w:lang w:val="hr-HR" w:eastAsia="hr-HR"/>
    </w:rPr>
  </w:style>
  <w:style w:type="paragraph" w:customStyle="1" w:styleId="bold">
    <w:name w:val="bold"/>
    <w:basedOn w:val="Normal"/>
    <w:rsid w:val="0081680C"/>
    <w:pPr>
      <w:spacing w:before="100" w:beforeAutospacing="1" w:after="100" w:afterAutospacing="1" w:line="240" w:lineRule="auto"/>
      <w:jc w:val="left"/>
    </w:pPr>
    <w:rPr>
      <w:szCs w:val="24"/>
      <w:lang w:val="hr-HR" w:eastAsia="hr-HR"/>
    </w:rPr>
  </w:style>
  <w:style w:type="character" w:styleId="Referencakrajnjebiljeke">
    <w:name w:val="endnote reference"/>
    <w:uiPriority w:val="99"/>
    <w:rsid w:val="00D677F9"/>
    <w:rPr>
      <w:color w:val="000000"/>
    </w:rPr>
  </w:style>
  <w:style w:type="character" w:customStyle="1" w:styleId="name">
    <w:name w:val="name"/>
    <w:basedOn w:val="Zadanifontodlomka"/>
    <w:rsid w:val="00E605C9"/>
  </w:style>
  <w:style w:type="character" w:styleId="HTML-navod">
    <w:name w:val="HTML Cite"/>
    <w:basedOn w:val="Zadanifontodlomka"/>
    <w:uiPriority w:val="99"/>
    <w:semiHidden/>
    <w:unhideWhenUsed/>
    <w:rsid w:val="00E605C9"/>
    <w:rPr>
      <w:i/>
      <w:iCs/>
    </w:rPr>
  </w:style>
  <w:style w:type="character" w:customStyle="1" w:styleId="slug-pub-date">
    <w:name w:val="slug-pub-date"/>
    <w:basedOn w:val="Zadanifontodlomka"/>
    <w:rsid w:val="00E605C9"/>
  </w:style>
  <w:style w:type="character" w:customStyle="1" w:styleId="slug-vol">
    <w:name w:val="slug-vol"/>
    <w:basedOn w:val="Zadanifontodlomka"/>
    <w:rsid w:val="00E605C9"/>
  </w:style>
  <w:style w:type="character" w:customStyle="1" w:styleId="slug-issue">
    <w:name w:val="slug-issue"/>
    <w:basedOn w:val="Zadanifontodlomka"/>
    <w:rsid w:val="00E605C9"/>
  </w:style>
  <w:style w:type="character" w:customStyle="1" w:styleId="slug-pages">
    <w:name w:val="slug-pages"/>
    <w:basedOn w:val="Zadanifontodlomka"/>
    <w:rsid w:val="00E60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68">
      <w:bodyDiv w:val="1"/>
      <w:marLeft w:val="0"/>
      <w:marRight w:val="0"/>
      <w:marTop w:val="0"/>
      <w:marBottom w:val="0"/>
      <w:divBdr>
        <w:top w:val="none" w:sz="0" w:space="0" w:color="auto"/>
        <w:left w:val="none" w:sz="0" w:space="0" w:color="auto"/>
        <w:bottom w:val="none" w:sz="0" w:space="0" w:color="auto"/>
        <w:right w:val="none" w:sz="0" w:space="0" w:color="auto"/>
      </w:divBdr>
      <w:divsChild>
        <w:div w:id="368458816">
          <w:marLeft w:val="0"/>
          <w:marRight w:val="0"/>
          <w:marTop w:val="0"/>
          <w:marBottom w:val="0"/>
          <w:divBdr>
            <w:top w:val="none" w:sz="0" w:space="0" w:color="auto"/>
            <w:left w:val="none" w:sz="0" w:space="0" w:color="auto"/>
            <w:bottom w:val="none" w:sz="0" w:space="0" w:color="auto"/>
            <w:right w:val="none" w:sz="0" w:space="0" w:color="auto"/>
          </w:divBdr>
        </w:div>
      </w:divsChild>
    </w:div>
    <w:div w:id="1031420540">
      <w:bodyDiv w:val="1"/>
      <w:marLeft w:val="0"/>
      <w:marRight w:val="0"/>
      <w:marTop w:val="0"/>
      <w:marBottom w:val="0"/>
      <w:divBdr>
        <w:top w:val="none" w:sz="0" w:space="0" w:color="auto"/>
        <w:left w:val="none" w:sz="0" w:space="0" w:color="auto"/>
        <w:bottom w:val="none" w:sz="0" w:space="0" w:color="auto"/>
        <w:right w:val="none" w:sz="0" w:space="0" w:color="auto"/>
      </w:divBdr>
    </w:div>
    <w:div w:id="1305164125">
      <w:bodyDiv w:val="1"/>
      <w:marLeft w:val="0"/>
      <w:marRight w:val="0"/>
      <w:marTop w:val="0"/>
      <w:marBottom w:val="0"/>
      <w:divBdr>
        <w:top w:val="none" w:sz="0" w:space="0" w:color="auto"/>
        <w:left w:val="none" w:sz="0" w:space="0" w:color="auto"/>
        <w:bottom w:val="none" w:sz="0" w:space="0" w:color="auto"/>
        <w:right w:val="none" w:sz="0" w:space="0" w:color="auto"/>
      </w:divBdr>
    </w:div>
    <w:div w:id="1644776582">
      <w:bodyDiv w:val="1"/>
      <w:marLeft w:val="0"/>
      <w:marRight w:val="0"/>
      <w:marTop w:val="0"/>
      <w:marBottom w:val="0"/>
      <w:divBdr>
        <w:top w:val="none" w:sz="0" w:space="0" w:color="auto"/>
        <w:left w:val="none" w:sz="0" w:space="0" w:color="auto"/>
        <w:bottom w:val="none" w:sz="0" w:space="0" w:color="auto"/>
        <w:right w:val="none" w:sz="0" w:space="0" w:color="auto"/>
      </w:divBdr>
    </w:div>
    <w:div w:id="1719161475">
      <w:bodyDiv w:val="1"/>
      <w:marLeft w:val="0"/>
      <w:marRight w:val="0"/>
      <w:marTop w:val="0"/>
      <w:marBottom w:val="0"/>
      <w:divBdr>
        <w:top w:val="none" w:sz="0" w:space="0" w:color="auto"/>
        <w:left w:val="none" w:sz="0" w:space="0" w:color="auto"/>
        <w:bottom w:val="none" w:sz="0" w:space="0" w:color="auto"/>
        <w:right w:val="none" w:sz="0" w:space="0" w:color="auto"/>
      </w:divBdr>
    </w:div>
    <w:div w:id="188864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srn.com/abstract=1991330" TargetMode="Externa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aztn.hr/uploads/documents/tn/prijevodi/priopcenje_komisije_obavijest.pdf" TargetMode="External"/><Relationship Id="rId13" Type="http://schemas.openxmlformats.org/officeDocument/2006/relationships/hyperlink" Target="http://www.4ni.co.uk/northern-ireland-news.asp?id=72008" TargetMode="External"/><Relationship Id="rId3" Type="http://schemas.openxmlformats.org/officeDocument/2006/relationships/hyperlink" Target="http://www.aztn.hr/uploads/documents/tn/prijevodi/Smjernice_utvrdjivanju_kazni.pdf" TargetMode="External"/><Relationship Id="rId7" Type="http://schemas.openxmlformats.org/officeDocument/2006/relationships/hyperlink" Target="http://www.aztn.hr/uploads/documents/tn/prijevodi/6.1.pdf" TargetMode="External"/><Relationship Id="rId12" Type="http://schemas.openxmlformats.org/officeDocument/2006/relationships/hyperlink" Target="http://www.telegraph.co.uk/opinion/main.jhtml?xml=/opinion/2008/02/24/do2411.xml" TargetMode="External"/><Relationship Id="rId2" Type="http://schemas.openxmlformats.org/officeDocument/2006/relationships/hyperlink" Target="http://europa.eu/documents/comm/green_papers/pdf/com96_721_en.pdf" TargetMode="External"/><Relationship Id="rId1" Type="http://schemas.openxmlformats.org/officeDocument/2006/relationships/hyperlink" Target="http://www.oecd.org/daf/competition/43835526.pdf" TargetMode="External"/><Relationship Id="rId6" Type="http://schemas.openxmlformats.org/officeDocument/2006/relationships/hyperlink" Target="http://www.aztn.hr/uploads/documents/tn/prijevodi/priopcenje_komisije_obavijest.pdf" TargetMode="External"/><Relationship Id="rId11" Type="http://schemas.openxmlformats.org/officeDocument/2006/relationships/hyperlink" Target="http://news.bbc.co.uk/1/hi/uk/7256036.stm" TargetMode="External"/><Relationship Id="rId5" Type="http://schemas.openxmlformats.org/officeDocument/2006/relationships/hyperlink" Target="http://www.aztn.hr/uploads/documents/tn/prijevodi/priopcenje_komisije_obavijest.pdf" TargetMode="External"/><Relationship Id="rId15" Type="http://schemas.openxmlformats.org/officeDocument/2006/relationships/hyperlink" Target="http://www.aztn.hr/uploads/documents/tn/prijevodi/Sporazumi_male_vrijednosti.pdf" TargetMode="External"/><Relationship Id="rId10" Type="http://schemas.openxmlformats.org/officeDocument/2006/relationships/hyperlink" Target="http://ojls.oxfordjournals.org/search?author1=Okeoghene+Odudu&amp;sortspec=date&amp;submit=Submit" TargetMode="External"/><Relationship Id="rId4" Type="http://schemas.openxmlformats.org/officeDocument/2006/relationships/hyperlink" Target="http://www.aztn.hr/uploads/documents/tn/prijevodi/32003R0001_Uredba_Vijeca_1_2003.pdf" TargetMode="External"/><Relationship Id="rId9" Type="http://schemas.openxmlformats.org/officeDocument/2006/relationships/hyperlink" Target="http://ssrn.com/abstract=1358646" TargetMode="External"/><Relationship Id="rId14" Type="http://schemas.openxmlformats.org/officeDocument/2006/relationships/hyperlink" Target="http://www.aztn.hr/uploads/documents/tn/prijevodi/52010SC0411_Smjernice_vertikalna_ogranicenj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Veljača 2014. godine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BEA06F-A398-4A31-9225-F3CD3AF1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11548</Words>
  <Characters>69058</Characters>
  <Application>Microsoft Office Word</Application>
  <DocSecurity>0</DocSecurity>
  <Lines>1062</Lines>
  <Paragraphs>238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Ograničenje tržišnog natjecanja u europskom pravu</vt:lpstr>
      <vt:lpstr>Ograničenje tržišnog natjecanja u europskom pravu</vt:lpstr>
    </vt:vector>
  </TitlesOfParts>
  <Company>Sveucilište u ZagrebuPravni fakultetJean Monnet katedra za europsko javno pravo</Company>
  <LinksUpToDate>false</LinksUpToDate>
  <CharactersWithSpaces>80368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Ograničenje tržišnog natjecanja u europskom pravu</dc:title>
  <dc:creator>Diplomski rad</dc:creator>
  <cp:lastModifiedBy>User</cp:lastModifiedBy>
  <cp:revision>2</cp:revision>
  <cp:lastPrinted>2014-02-28T13:02:00Z</cp:lastPrinted>
  <dcterms:created xsi:type="dcterms:W3CDTF">2014-03-03T14:54:00Z</dcterms:created>
  <dcterms:modified xsi:type="dcterms:W3CDTF">2014-03-03T14:54:00Z</dcterms:modified>
</cp:coreProperties>
</file>