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91E5C" w14:textId="77777777" w:rsidR="00FA13B7" w:rsidRPr="00FB47C1" w:rsidRDefault="00FA13B7" w:rsidP="00FA13B7">
      <w:pPr>
        <w:spacing w:after="0" w:line="240" w:lineRule="auto"/>
        <w:rPr>
          <w:rFonts w:asciiTheme="majorHAnsi" w:hAnsiTheme="majorHAnsi" w:cs="Times New Roman"/>
          <w:sz w:val="24"/>
          <w:szCs w:val="24"/>
        </w:rPr>
      </w:pPr>
      <w:r w:rsidRPr="00FB47C1">
        <w:rPr>
          <w:rFonts w:asciiTheme="majorHAnsi" w:hAnsiTheme="majorHAnsi" w:cs="Times New Roman"/>
          <w:sz w:val="24"/>
          <w:szCs w:val="24"/>
        </w:rPr>
        <w:t>Prof. dr. sc. Dubravka Hrabar,</w:t>
      </w:r>
    </w:p>
    <w:p w14:paraId="0F6E9FBE" w14:textId="29CCC038" w:rsidR="00FA13B7" w:rsidRPr="00FB47C1" w:rsidRDefault="00FA13B7" w:rsidP="00FA13B7">
      <w:pPr>
        <w:spacing w:after="0" w:line="240" w:lineRule="auto"/>
        <w:rPr>
          <w:rFonts w:asciiTheme="majorHAnsi" w:hAnsiTheme="majorHAnsi" w:cs="Times New Roman"/>
          <w:sz w:val="24"/>
          <w:szCs w:val="24"/>
        </w:rPr>
      </w:pPr>
      <w:r w:rsidRPr="00FB47C1">
        <w:rPr>
          <w:rFonts w:asciiTheme="majorHAnsi" w:hAnsiTheme="majorHAnsi" w:cs="Times New Roman"/>
          <w:sz w:val="24"/>
          <w:szCs w:val="24"/>
        </w:rPr>
        <w:t>Katedra za obiteljsko pravo,</w:t>
      </w:r>
    </w:p>
    <w:p w14:paraId="21F2FA37" w14:textId="77777777" w:rsidR="00FA13B7" w:rsidRPr="00FB47C1" w:rsidRDefault="00FA13B7" w:rsidP="00FA13B7">
      <w:pPr>
        <w:spacing w:after="0" w:line="240" w:lineRule="auto"/>
        <w:rPr>
          <w:rFonts w:asciiTheme="majorHAnsi" w:hAnsiTheme="majorHAnsi" w:cs="Times New Roman"/>
          <w:sz w:val="24"/>
          <w:szCs w:val="24"/>
        </w:rPr>
      </w:pPr>
      <w:r w:rsidRPr="00FB47C1">
        <w:rPr>
          <w:rFonts w:asciiTheme="majorHAnsi" w:hAnsiTheme="majorHAnsi" w:cs="Times New Roman"/>
          <w:sz w:val="24"/>
          <w:szCs w:val="24"/>
        </w:rPr>
        <w:t>Pravni fakultet Sveučilišta u Zagrebu.</w:t>
      </w:r>
    </w:p>
    <w:p w14:paraId="0175E0AF" w14:textId="77777777" w:rsidR="00FA13B7" w:rsidRPr="00FB47C1" w:rsidRDefault="00FA13B7" w:rsidP="00FA13B7">
      <w:pPr>
        <w:spacing w:after="0" w:line="240" w:lineRule="auto"/>
        <w:rPr>
          <w:rFonts w:asciiTheme="majorHAnsi" w:hAnsiTheme="majorHAnsi" w:cs="Times New Roman"/>
          <w:sz w:val="24"/>
          <w:szCs w:val="24"/>
        </w:rPr>
      </w:pPr>
      <w:r w:rsidRPr="00FB47C1">
        <w:rPr>
          <w:rFonts w:asciiTheme="majorHAnsi" w:hAnsiTheme="majorHAnsi" w:cs="Times New Roman"/>
          <w:sz w:val="24"/>
          <w:szCs w:val="24"/>
        </w:rPr>
        <w:t>Dopredsjednica Akademije pravnih znanosti Hrvatske</w:t>
      </w:r>
    </w:p>
    <w:p w14:paraId="22393EBE" w14:textId="77777777" w:rsidR="00FA13B7" w:rsidRPr="00FB47C1" w:rsidRDefault="00FA13B7" w:rsidP="00FA13B7">
      <w:pPr>
        <w:spacing w:after="0" w:line="240" w:lineRule="auto"/>
        <w:rPr>
          <w:rFonts w:asciiTheme="majorHAnsi" w:hAnsiTheme="majorHAnsi" w:cs="Times New Roman"/>
          <w:sz w:val="24"/>
          <w:szCs w:val="24"/>
        </w:rPr>
      </w:pPr>
      <w:r w:rsidRPr="00FB47C1">
        <w:rPr>
          <w:rFonts w:asciiTheme="majorHAnsi" w:hAnsiTheme="majorHAnsi" w:cs="Times New Roman"/>
          <w:sz w:val="24"/>
          <w:szCs w:val="24"/>
        </w:rPr>
        <w:t>dubravka.hrabar@pravo.hr</w:t>
      </w:r>
    </w:p>
    <w:p w14:paraId="0928B61A" w14:textId="77777777" w:rsidR="00FA13B7" w:rsidRPr="00FB47C1" w:rsidRDefault="00FA13B7" w:rsidP="00FA13B7">
      <w:pPr>
        <w:spacing w:after="0" w:line="240" w:lineRule="auto"/>
        <w:rPr>
          <w:rFonts w:asciiTheme="majorHAnsi" w:hAnsiTheme="majorHAnsi" w:cs="Times New Roman"/>
          <w:sz w:val="24"/>
          <w:szCs w:val="24"/>
        </w:rPr>
      </w:pPr>
      <w:r w:rsidRPr="00FB47C1">
        <w:rPr>
          <w:rFonts w:asciiTheme="majorHAnsi" w:hAnsiTheme="majorHAnsi" w:cs="Times New Roman"/>
          <w:sz w:val="24"/>
          <w:szCs w:val="24"/>
        </w:rPr>
        <w:t>Trg Republike Hrvatske 3, 10 000 Zagreb</w:t>
      </w:r>
    </w:p>
    <w:p w14:paraId="79DEAF76" w14:textId="77777777" w:rsidR="00FA13B7" w:rsidRPr="00FB47C1" w:rsidRDefault="00FA13B7" w:rsidP="00FA13B7">
      <w:pPr>
        <w:spacing w:after="0" w:line="240" w:lineRule="auto"/>
        <w:rPr>
          <w:rFonts w:asciiTheme="majorHAnsi" w:hAnsiTheme="majorHAnsi" w:cs="Times New Roman"/>
          <w:sz w:val="24"/>
          <w:szCs w:val="24"/>
        </w:rPr>
      </w:pPr>
    </w:p>
    <w:p w14:paraId="6EFE4A46" w14:textId="77777777" w:rsidR="00FA13B7" w:rsidRPr="00FB47C1" w:rsidRDefault="00FA13B7" w:rsidP="00FA13B7">
      <w:pPr>
        <w:spacing w:after="0" w:line="240" w:lineRule="auto"/>
        <w:rPr>
          <w:rFonts w:asciiTheme="majorHAnsi" w:hAnsiTheme="majorHAnsi" w:cs="Times New Roman"/>
          <w:sz w:val="24"/>
          <w:szCs w:val="24"/>
        </w:rPr>
      </w:pPr>
    </w:p>
    <w:p w14:paraId="2C74402A" w14:textId="77777777" w:rsidR="00FA13B7" w:rsidRPr="00FB47C1" w:rsidRDefault="00FA13B7" w:rsidP="00FA13B7">
      <w:pPr>
        <w:spacing w:after="0" w:line="240" w:lineRule="auto"/>
        <w:jc w:val="right"/>
        <w:rPr>
          <w:rFonts w:asciiTheme="majorHAnsi" w:hAnsiTheme="majorHAnsi" w:cs="Times New Roman"/>
          <w:sz w:val="24"/>
          <w:szCs w:val="24"/>
        </w:rPr>
      </w:pPr>
      <w:r w:rsidRPr="00FB47C1">
        <w:rPr>
          <w:rFonts w:asciiTheme="majorHAnsi" w:hAnsiTheme="majorHAnsi" w:cs="Times New Roman"/>
          <w:sz w:val="24"/>
          <w:szCs w:val="24"/>
        </w:rPr>
        <w:t>Akademija pravnih znanosti Hrvatske</w:t>
      </w:r>
    </w:p>
    <w:p w14:paraId="02CE51EB" w14:textId="77777777" w:rsidR="00FA13B7" w:rsidRPr="00FB47C1" w:rsidRDefault="00FA13B7" w:rsidP="00FA13B7">
      <w:pPr>
        <w:spacing w:after="0" w:line="240" w:lineRule="auto"/>
        <w:jc w:val="right"/>
        <w:rPr>
          <w:rFonts w:asciiTheme="majorHAnsi" w:hAnsiTheme="majorHAnsi" w:cs="Times New Roman"/>
          <w:sz w:val="24"/>
          <w:szCs w:val="24"/>
        </w:rPr>
      </w:pPr>
      <w:r w:rsidRPr="00FB47C1">
        <w:rPr>
          <w:rFonts w:asciiTheme="majorHAnsi" w:hAnsiTheme="majorHAnsi" w:cs="Times New Roman"/>
          <w:sz w:val="24"/>
          <w:szCs w:val="24"/>
        </w:rPr>
        <w:t>Znanstveno vijeće i Skupština</w:t>
      </w:r>
    </w:p>
    <w:p w14:paraId="402962DD" w14:textId="77777777" w:rsidR="00FA13B7" w:rsidRPr="00FB47C1" w:rsidRDefault="00FA13B7" w:rsidP="00FA13B7">
      <w:pPr>
        <w:spacing w:after="0" w:line="240" w:lineRule="auto"/>
        <w:jc w:val="right"/>
        <w:rPr>
          <w:rFonts w:asciiTheme="majorHAnsi" w:hAnsiTheme="majorHAnsi" w:cs="Times New Roman"/>
          <w:sz w:val="24"/>
          <w:szCs w:val="24"/>
        </w:rPr>
      </w:pPr>
      <w:r w:rsidRPr="00FB47C1">
        <w:rPr>
          <w:rFonts w:asciiTheme="majorHAnsi" w:hAnsiTheme="majorHAnsi" w:cs="Times New Roman"/>
          <w:sz w:val="24"/>
          <w:szCs w:val="24"/>
        </w:rPr>
        <w:t>Trg Republike Hrvatske 14, 10 000 Zagreb</w:t>
      </w:r>
    </w:p>
    <w:p w14:paraId="0EC27E80" w14:textId="77777777" w:rsidR="00FA13B7" w:rsidRPr="00FB47C1" w:rsidRDefault="00FA13B7" w:rsidP="00FA13B7">
      <w:pPr>
        <w:spacing w:after="0" w:line="240" w:lineRule="auto"/>
        <w:jc w:val="right"/>
        <w:rPr>
          <w:rFonts w:asciiTheme="majorHAnsi" w:hAnsiTheme="majorHAnsi" w:cs="Times New Roman"/>
          <w:sz w:val="24"/>
          <w:szCs w:val="24"/>
        </w:rPr>
      </w:pPr>
    </w:p>
    <w:p w14:paraId="567BA02F" w14:textId="77777777" w:rsidR="00FA13B7" w:rsidRPr="00FB47C1" w:rsidRDefault="00FA13B7" w:rsidP="00FA13B7">
      <w:pPr>
        <w:spacing w:after="0" w:line="240" w:lineRule="auto"/>
        <w:jc w:val="right"/>
        <w:rPr>
          <w:rFonts w:asciiTheme="majorHAnsi" w:hAnsiTheme="majorHAnsi" w:cs="Times New Roman"/>
          <w:sz w:val="24"/>
          <w:szCs w:val="24"/>
        </w:rPr>
      </w:pPr>
    </w:p>
    <w:p w14:paraId="5FBD00F1" w14:textId="77777777" w:rsidR="00FA13B7" w:rsidRPr="00FB47C1" w:rsidRDefault="00FA13B7" w:rsidP="00FA13B7">
      <w:pPr>
        <w:spacing w:after="0" w:line="240" w:lineRule="auto"/>
        <w:jc w:val="right"/>
        <w:rPr>
          <w:rFonts w:asciiTheme="majorHAnsi" w:hAnsiTheme="majorHAnsi" w:cs="Times New Roman"/>
          <w:sz w:val="24"/>
          <w:szCs w:val="24"/>
        </w:rPr>
      </w:pPr>
    </w:p>
    <w:p w14:paraId="70D9FD88" w14:textId="77777777" w:rsidR="00FA13B7" w:rsidRPr="00FB47C1" w:rsidRDefault="00FA13B7" w:rsidP="00FA13B7">
      <w:pPr>
        <w:spacing w:line="360" w:lineRule="auto"/>
        <w:rPr>
          <w:rFonts w:asciiTheme="majorHAnsi" w:hAnsiTheme="majorHAnsi" w:cs="Times New Roman"/>
          <w:sz w:val="24"/>
          <w:szCs w:val="24"/>
        </w:rPr>
      </w:pPr>
      <w:r w:rsidRPr="00FB47C1">
        <w:rPr>
          <w:rFonts w:asciiTheme="majorHAnsi" w:hAnsiTheme="majorHAnsi" w:cs="Times New Roman"/>
          <w:sz w:val="24"/>
          <w:szCs w:val="24"/>
        </w:rPr>
        <w:t>PREDMET: Prijedlog da se izv. prof. dr. sc. Henrik-Riko Held izabere za redovitog člana Akademije pravnih znanosti Hrvatske</w:t>
      </w:r>
    </w:p>
    <w:p w14:paraId="75E03E64" w14:textId="77777777" w:rsidR="00FA13B7" w:rsidRPr="00FB47C1" w:rsidRDefault="00FA13B7" w:rsidP="00FA13B7">
      <w:pPr>
        <w:spacing w:line="360" w:lineRule="auto"/>
        <w:jc w:val="center"/>
        <w:rPr>
          <w:rFonts w:asciiTheme="majorHAnsi" w:hAnsiTheme="majorHAnsi" w:cs="Times New Roman"/>
          <w:sz w:val="24"/>
          <w:szCs w:val="24"/>
        </w:rPr>
      </w:pPr>
    </w:p>
    <w:p w14:paraId="36C6896D" w14:textId="2EF6F74A" w:rsidR="00FA13B7" w:rsidRPr="00FB47C1" w:rsidRDefault="00FA13B7" w:rsidP="00FA13B7">
      <w:pPr>
        <w:spacing w:line="360" w:lineRule="auto"/>
        <w:ind w:firstLine="708"/>
        <w:jc w:val="both"/>
        <w:rPr>
          <w:rFonts w:asciiTheme="majorHAnsi" w:hAnsiTheme="majorHAnsi" w:cs="Times New Roman"/>
          <w:sz w:val="24"/>
          <w:szCs w:val="24"/>
        </w:rPr>
      </w:pPr>
      <w:r w:rsidRPr="00FB47C1">
        <w:rPr>
          <w:rFonts w:asciiTheme="majorHAnsi" w:hAnsiTheme="majorHAnsi" w:cs="Times New Roman"/>
          <w:sz w:val="24"/>
          <w:szCs w:val="24"/>
        </w:rPr>
        <w:t xml:space="preserve">Molim da Znanstveno vijeće podrži, a Skupština primi za redovitog člana Akademije pravnih znanosti Hrvatske dr. sc. Henrika-Rika Helda, izvanrednog profesora na Katedri za rimsko pravo Pravnog fakulteta Sveučilišta u Zagrebu. </w:t>
      </w:r>
    </w:p>
    <w:p w14:paraId="7992E140" w14:textId="77777777" w:rsidR="00FA13B7" w:rsidRPr="00FB47C1" w:rsidRDefault="00FA13B7" w:rsidP="00FA13B7">
      <w:pPr>
        <w:spacing w:line="360" w:lineRule="auto"/>
        <w:ind w:firstLine="708"/>
        <w:jc w:val="both"/>
        <w:rPr>
          <w:rFonts w:asciiTheme="majorHAnsi" w:hAnsiTheme="majorHAnsi" w:cs="Times New Roman"/>
          <w:sz w:val="24"/>
          <w:szCs w:val="24"/>
        </w:rPr>
      </w:pPr>
      <w:r w:rsidRPr="00FB47C1">
        <w:rPr>
          <w:rFonts w:asciiTheme="majorHAnsi" w:hAnsiTheme="majorHAnsi" w:cs="Times New Roman"/>
          <w:sz w:val="24"/>
          <w:szCs w:val="24"/>
        </w:rPr>
        <w:t>Razlozi za izbor navedeni su u čl. 8. st. 3. Statuta Akademije pravnih znanosti Hrvatske, po kojemu redoviti član Akademije može biti državljanin Republike Hrvatske koji ima doktorat znanosti iz područja društvenih znanosti, koji se bavi pravnom znanošću i koji svojim znanstvenim radom u polju prava (objavljeni znanstveni radovi u referentnim časopisima i publikacijama, sudjelovanje u znanstvenim istraživanjima i sl.) značajno doprinosi razvitku hrvatske pravne znanosti.</w:t>
      </w:r>
    </w:p>
    <w:p w14:paraId="12D85F78" w14:textId="5166F552" w:rsidR="00FA13B7" w:rsidRPr="00FB47C1" w:rsidRDefault="00FA13B7" w:rsidP="00FA13B7">
      <w:pPr>
        <w:spacing w:line="360" w:lineRule="auto"/>
        <w:ind w:firstLine="708"/>
        <w:jc w:val="both"/>
        <w:rPr>
          <w:rFonts w:asciiTheme="majorHAnsi" w:hAnsiTheme="majorHAnsi" w:cs="Times New Roman"/>
          <w:sz w:val="24"/>
          <w:szCs w:val="24"/>
        </w:rPr>
      </w:pPr>
      <w:r w:rsidRPr="00FB47C1">
        <w:rPr>
          <w:rFonts w:asciiTheme="majorHAnsi" w:hAnsiTheme="majorHAnsi" w:cs="Times New Roman"/>
          <w:sz w:val="24"/>
          <w:szCs w:val="24"/>
        </w:rPr>
        <w:t xml:space="preserve">Sve navedeno je ispunjeno, kako svjedoči priloženi </w:t>
      </w:r>
      <w:r w:rsidRPr="00FB47C1">
        <w:rPr>
          <w:rFonts w:asciiTheme="majorHAnsi" w:hAnsiTheme="majorHAnsi" w:cs="Times New Roman"/>
          <w:i/>
          <w:sz w:val="24"/>
          <w:szCs w:val="24"/>
        </w:rPr>
        <w:t>curriculum vitae</w:t>
      </w:r>
      <w:r w:rsidRPr="00FB47C1">
        <w:rPr>
          <w:rFonts w:asciiTheme="majorHAnsi" w:hAnsiTheme="majorHAnsi" w:cs="Times New Roman"/>
          <w:sz w:val="24"/>
          <w:szCs w:val="24"/>
        </w:rPr>
        <w:t xml:space="preserve"> kandidata, a ovdje se podrobno ističe samo najvažnije. Izv. prof. Held se u cjelini bavi pravnom znanošću, i to rimskim pravom i rimskom pravnom tradicijom. To podrazumijeva razvoj rimskog prava u antici, ali i njegov daljnji razvoj u srednjovjekovlju i novovjekovlju te u suvremenim pravnim poretcima, posebice u kontekstu relevantnosti za razvoj i suvremeno uređenje hrvatskoga prava. Također, u svojem znanstvenom opusu bavi se i razvojem kanonskog prava u okviru rimske pravne tradicije te suvremenim odnosom između kanonskog prava i svjetovnih pravnih poredaka, u kontekstu Republike Hrvatske i poredbenopravno.</w:t>
      </w:r>
    </w:p>
    <w:p w14:paraId="11D344F4" w14:textId="42E6C87F" w:rsidR="00FA13B7" w:rsidRPr="00FB47C1" w:rsidRDefault="00FA13B7" w:rsidP="00FA13B7">
      <w:pPr>
        <w:spacing w:line="360" w:lineRule="auto"/>
        <w:ind w:firstLine="708"/>
        <w:jc w:val="both"/>
        <w:rPr>
          <w:rFonts w:asciiTheme="majorHAnsi" w:hAnsiTheme="majorHAnsi" w:cs="Times New Roman"/>
          <w:sz w:val="24"/>
          <w:szCs w:val="24"/>
        </w:rPr>
      </w:pPr>
      <w:r w:rsidRPr="00FB47C1">
        <w:rPr>
          <w:rFonts w:asciiTheme="majorHAnsi" w:hAnsiTheme="majorHAnsi" w:cs="Times New Roman"/>
          <w:sz w:val="24"/>
          <w:szCs w:val="24"/>
        </w:rPr>
        <w:lastRenderedPageBreak/>
        <w:t xml:space="preserve">Značajan doprinos izv. prof. Held dao je prvenstveno u kontekstu analize određenih obveznopravnih instituta u rimskom pravu, posebice tzv. </w:t>
      </w:r>
      <w:r w:rsidRPr="00FB47C1">
        <w:rPr>
          <w:rFonts w:asciiTheme="majorHAnsi" w:hAnsiTheme="majorHAnsi" w:cs="Times New Roman"/>
          <w:i/>
          <w:sz w:val="24"/>
          <w:szCs w:val="24"/>
        </w:rPr>
        <w:t>condictiones sine causa</w:t>
      </w:r>
      <w:r w:rsidRPr="00FB47C1">
        <w:rPr>
          <w:rFonts w:asciiTheme="majorHAnsi" w:hAnsiTheme="majorHAnsi" w:cs="Times New Roman"/>
          <w:sz w:val="24"/>
          <w:szCs w:val="24"/>
        </w:rPr>
        <w:t xml:space="preserve">, tj. suvremeno stjecanje bez osnove (doktorska disertacija 2015. </w:t>
      </w:r>
      <w:r w:rsidRPr="00FB47C1">
        <w:rPr>
          <w:rFonts w:asciiTheme="majorHAnsi" w:hAnsiTheme="majorHAnsi" w:cs="Times New Roman"/>
          <w:i/>
          <w:sz w:val="24"/>
          <w:szCs w:val="24"/>
        </w:rPr>
        <w:t>Nastanak i razvoj modela kondikcijske zaštite u rimskoj pravnoj tradiciji</w:t>
      </w:r>
      <w:r w:rsidRPr="00FB47C1">
        <w:rPr>
          <w:rFonts w:asciiTheme="majorHAnsi" w:hAnsiTheme="majorHAnsi" w:cs="Times New Roman"/>
          <w:sz w:val="24"/>
          <w:szCs w:val="24"/>
        </w:rPr>
        <w:t xml:space="preserve">; radovi:  </w:t>
      </w:r>
      <w:r w:rsidRPr="00FB47C1">
        <w:rPr>
          <w:rFonts w:asciiTheme="majorHAnsi" w:hAnsiTheme="majorHAnsi" w:cs="Times New Roman"/>
          <w:i/>
          <w:sz w:val="24"/>
          <w:szCs w:val="24"/>
        </w:rPr>
        <w:t>Unjustified enrichment: transformations of a concept in European legal traditions</w:t>
      </w:r>
      <w:r w:rsidRPr="00FB47C1">
        <w:rPr>
          <w:rFonts w:asciiTheme="majorHAnsi" w:hAnsiTheme="majorHAnsi" w:cs="Times New Roman"/>
          <w:sz w:val="24"/>
          <w:szCs w:val="24"/>
        </w:rPr>
        <w:t xml:space="preserve"> // European Traditions: integration or disintegration / Oosterhuis, Jan Willem ; van Dongen, Emanuel (ur.). Nijmegen: Wolf Legal Publishers, 2012. str. 21-34, </w:t>
      </w:r>
      <w:r w:rsidRPr="00FB47C1">
        <w:rPr>
          <w:rFonts w:asciiTheme="majorHAnsi" w:hAnsiTheme="majorHAnsi" w:cs="Times New Roman"/>
          <w:i/>
          <w:sz w:val="24"/>
          <w:szCs w:val="24"/>
        </w:rPr>
        <w:t>Kondikcijski zahtjevi i</w:t>
      </w:r>
      <w:r w:rsidRPr="00FB47C1">
        <w:rPr>
          <w:rFonts w:asciiTheme="majorHAnsi" w:hAnsiTheme="majorHAnsi" w:cs="Times New Roman"/>
          <w:sz w:val="24"/>
          <w:szCs w:val="24"/>
        </w:rPr>
        <w:t xml:space="preserve"> turpitudo </w:t>
      </w:r>
      <w:r w:rsidRPr="00FB47C1">
        <w:rPr>
          <w:rFonts w:asciiTheme="majorHAnsi" w:hAnsiTheme="majorHAnsi" w:cs="Times New Roman"/>
          <w:i/>
          <w:sz w:val="24"/>
          <w:szCs w:val="24"/>
        </w:rPr>
        <w:t>u rimskom pravu</w:t>
      </w:r>
      <w:r w:rsidRPr="00FB47C1">
        <w:rPr>
          <w:rFonts w:asciiTheme="majorHAnsi" w:hAnsiTheme="majorHAnsi" w:cs="Times New Roman"/>
          <w:sz w:val="24"/>
          <w:szCs w:val="24"/>
        </w:rPr>
        <w:t xml:space="preserve"> // Zbornik radova Pravnog fakulteta u Splitu, 56 (2019), 4; 945-962, </w:t>
      </w:r>
      <w:r w:rsidRPr="00FB47C1">
        <w:rPr>
          <w:rFonts w:asciiTheme="majorHAnsi" w:hAnsiTheme="majorHAnsi" w:cs="Times New Roman"/>
          <w:i/>
          <w:sz w:val="24"/>
          <w:szCs w:val="24"/>
        </w:rPr>
        <w:t>Razvoj koncepta neopravdanog obogaćenja u recepciji rimskog prava</w:t>
      </w:r>
      <w:r w:rsidRPr="00FB47C1">
        <w:rPr>
          <w:rFonts w:asciiTheme="majorHAnsi" w:hAnsiTheme="majorHAnsi" w:cs="Times New Roman"/>
          <w:sz w:val="24"/>
          <w:szCs w:val="24"/>
        </w:rPr>
        <w:t xml:space="preserve"> // Pravni vjesnik, 35 (2019), 3-4; 201-221; znanstveni skupovi: Condictio ex paenitentia </w:t>
      </w:r>
      <w:r w:rsidRPr="00FB47C1">
        <w:rPr>
          <w:rFonts w:asciiTheme="majorHAnsi" w:hAnsiTheme="majorHAnsi" w:cs="Times New Roman"/>
          <w:i/>
          <w:sz w:val="24"/>
          <w:szCs w:val="24"/>
        </w:rPr>
        <w:t>in the context of</w:t>
      </w:r>
      <w:r w:rsidRPr="00FB47C1">
        <w:rPr>
          <w:rFonts w:asciiTheme="majorHAnsi" w:hAnsiTheme="majorHAnsi" w:cs="Times New Roman"/>
          <w:sz w:val="24"/>
          <w:szCs w:val="24"/>
        </w:rPr>
        <w:t xml:space="preserve"> manumissio – an exegetic analysis // XVII. Internationales Sommerseminar zur antiken Rechtsgeschichte: Vertikale soziale Mobilität in der Antike, Tübingen, Njemačka, 2013., Ob turpem rem condicere </w:t>
      </w:r>
      <w:r w:rsidRPr="00FB47C1">
        <w:rPr>
          <w:rFonts w:asciiTheme="majorHAnsi" w:hAnsiTheme="majorHAnsi" w:cs="Times New Roman"/>
          <w:i/>
          <w:sz w:val="24"/>
          <w:szCs w:val="24"/>
        </w:rPr>
        <w:t xml:space="preserve">in the Context of Moral Prohibitions in Roman Law </w:t>
      </w:r>
      <w:r w:rsidRPr="00FB47C1">
        <w:rPr>
          <w:rFonts w:asciiTheme="majorHAnsi" w:hAnsiTheme="majorHAnsi" w:cs="Times New Roman"/>
          <w:sz w:val="24"/>
          <w:szCs w:val="24"/>
        </w:rPr>
        <w:t>// LXXIe Session de la Société Internationale Fernand de Visscher pour l'Histoire des droits de l'Antiquité (SIHDA): Liberté et Interdictions dans les droits de l'Antiquité, Bologna, Italija, 2017.).</w:t>
      </w:r>
    </w:p>
    <w:p w14:paraId="71090D9E" w14:textId="77777777" w:rsidR="00FA13B7" w:rsidRPr="00FB47C1" w:rsidRDefault="00FA13B7" w:rsidP="00FA13B7">
      <w:pPr>
        <w:spacing w:line="360" w:lineRule="auto"/>
        <w:ind w:firstLine="708"/>
        <w:jc w:val="both"/>
        <w:rPr>
          <w:rFonts w:asciiTheme="majorHAnsi" w:hAnsiTheme="majorHAnsi" w:cs="Times New Roman"/>
          <w:sz w:val="24"/>
          <w:szCs w:val="24"/>
        </w:rPr>
      </w:pPr>
      <w:r w:rsidRPr="00FB47C1">
        <w:rPr>
          <w:rFonts w:asciiTheme="majorHAnsi" w:hAnsiTheme="majorHAnsi" w:cs="Times New Roman"/>
          <w:sz w:val="24"/>
          <w:szCs w:val="24"/>
        </w:rPr>
        <w:t>U istom kontekstu posebno se može istaknuti razrađena teorija po kojoj je nastanak kondikcijskih zahtjeva u rimskom pravu povezao s rimskim postupkom objave pravednog rata (</w:t>
      </w:r>
      <w:r w:rsidRPr="00FB47C1">
        <w:rPr>
          <w:rFonts w:asciiTheme="majorHAnsi" w:hAnsiTheme="majorHAnsi" w:cs="Times New Roman"/>
          <w:i/>
          <w:sz w:val="24"/>
          <w:szCs w:val="24"/>
        </w:rPr>
        <w:t>bellum iustum</w:t>
      </w:r>
      <w:r w:rsidRPr="00FB47C1">
        <w:rPr>
          <w:rFonts w:asciiTheme="majorHAnsi" w:hAnsiTheme="majorHAnsi" w:cs="Times New Roman"/>
          <w:sz w:val="24"/>
          <w:szCs w:val="24"/>
        </w:rPr>
        <w:t xml:space="preserve">), odnosno temeljima doktrine pravednog rata (rad: </w:t>
      </w:r>
      <w:r w:rsidRPr="00FB47C1">
        <w:rPr>
          <w:rFonts w:asciiTheme="majorHAnsi" w:hAnsiTheme="majorHAnsi" w:cs="Times New Roman"/>
          <w:i/>
          <w:sz w:val="24"/>
          <w:szCs w:val="24"/>
        </w:rPr>
        <w:t>Podrijetlo postupka</w:t>
      </w:r>
      <w:r w:rsidRPr="00FB47C1">
        <w:rPr>
          <w:rFonts w:asciiTheme="majorHAnsi" w:hAnsiTheme="majorHAnsi" w:cs="Times New Roman"/>
          <w:sz w:val="24"/>
          <w:szCs w:val="24"/>
        </w:rPr>
        <w:t xml:space="preserve"> legis actio per condictionem // Zbornik Pravnog fakulteta u Zagrebu, 67 (2017), 2; 197-227; znanstveni skupovi: Iustum bellum </w:t>
      </w:r>
      <w:r w:rsidRPr="00FB47C1">
        <w:rPr>
          <w:rFonts w:asciiTheme="majorHAnsi" w:hAnsiTheme="majorHAnsi" w:cs="Times New Roman"/>
          <w:i/>
          <w:sz w:val="24"/>
          <w:szCs w:val="24"/>
        </w:rPr>
        <w:t xml:space="preserve">and </w:t>
      </w:r>
      <w:r w:rsidRPr="00FB47C1">
        <w:rPr>
          <w:rFonts w:asciiTheme="majorHAnsi" w:hAnsiTheme="majorHAnsi" w:cs="Times New Roman"/>
          <w:sz w:val="24"/>
          <w:szCs w:val="24"/>
        </w:rPr>
        <w:t xml:space="preserve">legis actio per condictionem – </w:t>
      </w:r>
      <w:r w:rsidRPr="00FB47C1">
        <w:rPr>
          <w:rFonts w:asciiTheme="majorHAnsi" w:hAnsiTheme="majorHAnsi" w:cs="Times New Roman"/>
          <w:i/>
          <w:sz w:val="24"/>
          <w:szCs w:val="24"/>
        </w:rPr>
        <w:t>common origins of two different procedures?</w:t>
      </w:r>
      <w:r w:rsidRPr="00FB47C1">
        <w:rPr>
          <w:rFonts w:asciiTheme="majorHAnsi" w:hAnsiTheme="majorHAnsi" w:cs="Times New Roman"/>
          <w:sz w:val="24"/>
          <w:szCs w:val="24"/>
        </w:rPr>
        <w:t xml:space="preserve"> // XIX. Internationales Sommerseminar für Antike Rechtsgeschichte und Römisches Recht: Arma et Leges – Rechtliche Aspekte des römischen Militärwesens, Frankfurt na Majni, Njemačka, 2015., 'Condicere autem denuntiare est prisca lingua' - </w:t>
      </w:r>
      <w:r w:rsidRPr="00FB47C1">
        <w:rPr>
          <w:rFonts w:asciiTheme="majorHAnsi" w:hAnsiTheme="majorHAnsi" w:cs="Times New Roman"/>
          <w:i/>
          <w:sz w:val="24"/>
          <w:szCs w:val="24"/>
        </w:rPr>
        <w:t>an interpretation of Gaius' report on</w:t>
      </w:r>
      <w:r w:rsidRPr="00FB47C1">
        <w:rPr>
          <w:rFonts w:asciiTheme="majorHAnsi" w:hAnsiTheme="majorHAnsi" w:cs="Times New Roman"/>
          <w:sz w:val="24"/>
          <w:szCs w:val="24"/>
        </w:rPr>
        <w:t xml:space="preserve"> 'legis actio per condictionem' // Giornate tridentine di diritto romano (seconda edizione), Trento, Italija, 2015., </w:t>
      </w:r>
      <w:r w:rsidRPr="00FB47C1">
        <w:rPr>
          <w:rFonts w:asciiTheme="majorHAnsi" w:hAnsiTheme="majorHAnsi" w:cs="Times New Roman"/>
          <w:i/>
          <w:sz w:val="24"/>
          <w:szCs w:val="24"/>
        </w:rPr>
        <w:t>Functions of the</w:t>
      </w:r>
      <w:r w:rsidRPr="00FB47C1">
        <w:rPr>
          <w:rFonts w:asciiTheme="majorHAnsi" w:hAnsiTheme="majorHAnsi" w:cs="Times New Roman"/>
          <w:sz w:val="24"/>
          <w:szCs w:val="24"/>
        </w:rPr>
        <w:t xml:space="preserve"> legis actio per condictionem </w:t>
      </w:r>
      <w:r w:rsidRPr="00FB47C1">
        <w:rPr>
          <w:rFonts w:asciiTheme="majorHAnsi" w:hAnsiTheme="majorHAnsi" w:cs="Times New Roman"/>
          <w:i/>
          <w:sz w:val="24"/>
          <w:szCs w:val="24"/>
        </w:rPr>
        <w:t>and the Prerequisites for the Just War in Roman Law</w:t>
      </w:r>
      <w:r w:rsidRPr="00FB47C1">
        <w:rPr>
          <w:rFonts w:asciiTheme="majorHAnsi" w:hAnsiTheme="majorHAnsi" w:cs="Times New Roman"/>
          <w:sz w:val="24"/>
          <w:szCs w:val="24"/>
        </w:rPr>
        <w:t xml:space="preserve"> // LXXIIe Session de la Société Internationale Fernand de Visscher pour l'Histoire des droits de l'Antiquité (SIHDA): Plus ratio quam vis, Krakov, Poljska, 2018).</w:t>
      </w:r>
    </w:p>
    <w:p w14:paraId="035C6375" w14:textId="77777777" w:rsidR="00FA13B7" w:rsidRPr="00FB47C1" w:rsidRDefault="00FA13B7" w:rsidP="00FA13B7">
      <w:pPr>
        <w:spacing w:line="360" w:lineRule="auto"/>
        <w:ind w:firstLine="708"/>
        <w:jc w:val="both"/>
        <w:rPr>
          <w:rFonts w:asciiTheme="majorHAnsi" w:hAnsiTheme="majorHAnsi" w:cs="Times New Roman"/>
          <w:sz w:val="24"/>
          <w:szCs w:val="24"/>
        </w:rPr>
      </w:pPr>
      <w:r w:rsidRPr="00FB47C1">
        <w:rPr>
          <w:rFonts w:asciiTheme="majorHAnsi" w:hAnsiTheme="majorHAnsi" w:cs="Times New Roman"/>
          <w:sz w:val="24"/>
          <w:szCs w:val="24"/>
        </w:rPr>
        <w:t xml:space="preserve">Kao posebno značajan doprinos može se istaknuti izvorna analiza prethodno pravno neobrađenih notarskih isprava iz Dubrovnika s kraja 13. st. Tu je analizirana </w:t>
      </w:r>
      <w:r w:rsidRPr="00FB47C1">
        <w:rPr>
          <w:rFonts w:asciiTheme="majorHAnsi" w:hAnsiTheme="majorHAnsi" w:cs="Times New Roman"/>
          <w:sz w:val="24"/>
          <w:szCs w:val="24"/>
        </w:rPr>
        <w:lastRenderedPageBreak/>
        <w:t>problematika pravnih zastupnika u postupku (</w:t>
      </w:r>
      <w:r w:rsidRPr="00FB47C1">
        <w:rPr>
          <w:rFonts w:asciiTheme="majorHAnsi" w:hAnsiTheme="majorHAnsi" w:cs="Times New Roman"/>
          <w:i/>
          <w:sz w:val="24"/>
          <w:szCs w:val="24"/>
        </w:rPr>
        <w:t>procuratores</w:t>
      </w:r>
      <w:r w:rsidRPr="00FB47C1">
        <w:rPr>
          <w:rFonts w:asciiTheme="majorHAnsi" w:hAnsiTheme="majorHAnsi" w:cs="Times New Roman"/>
          <w:sz w:val="24"/>
          <w:szCs w:val="24"/>
        </w:rPr>
        <w:t xml:space="preserve"> i </w:t>
      </w:r>
      <w:r w:rsidRPr="00FB47C1">
        <w:rPr>
          <w:rFonts w:asciiTheme="majorHAnsi" w:hAnsiTheme="majorHAnsi" w:cs="Times New Roman"/>
          <w:i/>
          <w:sz w:val="24"/>
          <w:szCs w:val="24"/>
        </w:rPr>
        <w:t>advocati</w:t>
      </w:r>
      <w:r w:rsidRPr="00FB47C1">
        <w:rPr>
          <w:rFonts w:asciiTheme="majorHAnsi" w:hAnsiTheme="majorHAnsi" w:cs="Times New Roman"/>
          <w:sz w:val="24"/>
          <w:szCs w:val="24"/>
        </w:rPr>
        <w:t xml:space="preserve">) te cesija ili ustup tražbine. Istraženo je na koji su način rimski pravni temelji, akademska razrada rimskog prava u sjevernotalijanskim gradovima te lokalne praktične specifičnosti utjecali na pravne i opće društvene okolnosti u Dubrovniku toga razdoblja. Ustanovljena je usklađenost uloge prokuratora i advokata u analiziranim ispravama s rimskim predlošcima, te određene specifičnosti vezane uz praktična stjecanja pravnih znanja u plemićkim obiteljima. Također, ustanovljeno je kako je cesija u dubrovačkom pravu imala specifičan oblik koji je odudarao od uobičajenih notarskih formulara koji su se koristili s obje strane Jadranskog mora, ali je sadržajno i konceptualno odgovarao rimskom konceptu cesije (radovi: Procuratores </w:t>
      </w:r>
      <w:r w:rsidRPr="00FB47C1">
        <w:rPr>
          <w:rFonts w:asciiTheme="majorHAnsi" w:hAnsiTheme="majorHAnsi" w:cs="Times New Roman"/>
          <w:i/>
          <w:sz w:val="24"/>
          <w:szCs w:val="24"/>
        </w:rPr>
        <w:t xml:space="preserve">i </w:t>
      </w:r>
      <w:r w:rsidRPr="00FB47C1">
        <w:rPr>
          <w:rFonts w:asciiTheme="majorHAnsi" w:hAnsiTheme="majorHAnsi" w:cs="Times New Roman"/>
          <w:sz w:val="24"/>
          <w:szCs w:val="24"/>
        </w:rPr>
        <w:t xml:space="preserve">advocati </w:t>
      </w:r>
      <w:r w:rsidRPr="00FB47C1">
        <w:rPr>
          <w:rFonts w:asciiTheme="majorHAnsi" w:hAnsiTheme="majorHAnsi" w:cs="Times New Roman"/>
          <w:i/>
          <w:sz w:val="24"/>
          <w:szCs w:val="24"/>
        </w:rPr>
        <w:t>u zapisima notara Tomazina de Savere (1277-1286)</w:t>
      </w:r>
      <w:r w:rsidRPr="00FB47C1">
        <w:rPr>
          <w:rFonts w:asciiTheme="majorHAnsi" w:hAnsiTheme="majorHAnsi" w:cs="Times New Roman"/>
          <w:sz w:val="24"/>
          <w:szCs w:val="24"/>
        </w:rPr>
        <w:t xml:space="preserve"> // Anali Zavoda za povijesne znanosti Hrvatske akademije znanosti i umjetnosti u Dubrovniku, 58 (2020), 41-71, Cessio </w:t>
      </w:r>
      <w:r w:rsidRPr="00FB47C1">
        <w:rPr>
          <w:rFonts w:asciiTheme="majorHAnsi" w:hAnsiTheme="majorHAnsi" w:cs="Times New Roman"/>
          <w:i/>
          <w:sz w:val="24"/>
          <w:szCs w:val="24"/>
        </w:rPr>
        <w:t>in the documents of Thomasinus de Savere, notarius iuratus and scriba communis in Dubrovnik 1277-1286</w:t>
      </w:r>
      <w:r w:rsidRPr="00FB47C1">
        <w:rPr>
          <w:rFonts w:asciiTheme="majorHAnsi" w:hAnsiTheme="majorHAnsi" w:cs="Times New Roman"/>
          <w:sz w:val="24"/>
          <w:szCs w:val="24"/>
        </w:rPr>
        <w:t xml:space="preserve"> // RiMe – Rivista dell’Istituto di Storia dell’Europa Mediterranea, 9 (2021), I n.s.; 109-142; znanstveni skupovi: </w:t>
      </w:r>
      <w:r w:rsidRPr="00FB47C1">
        <w:rPr>
          <w:rFonts w:asciiTheme="majorHAnsi" w:hAnsiTheme="majorHAnsi" w:cs="Times New Roman"/>
          <w:i/>
          <w:sz w:val="24"/>
          <w:szCs w:val="24"/>
        </w:rPr>
        <w:t>Functions of Notaries Public in Medieval Ragusa</w:t>
      </w:r>
      <w:r w:rsidRPr="00FB47C1">
        <w:rPr>
          <w:rFonts w:asciiTheme="majorHAnsi" w:hAnsiTheme="majorHAnsi" w:cs="Times New Roman"/>
          <w:sz w:val="24"/>
          <w:szCs w:val="24"/>
        </w:rPr>
        <w:t xml:space="preserve"> // Public and Private Justice - Private Justice in Service of Public Goals? Outsourcing of Judicial Tasks and Functions - Blessing or Betrayal, Dubrovnik, Hrvatska, 2015., Procuratores </w:t>
      </w:r>
      <w:r w:rsidRPr="00FB47C1">
        <w:rPr>
          <w:rFonts w:asciiTheme="majorHAnsi" w:hAnsiTheme="majorHAnsi" w:cs="Times New Roman"/>
          <w:i/>
          <w:sz w:val="24"/>
          <w:szCs w:val="24"/>
        </w:rPr>
        <w:t xml:space="preserve">e </w:t>
      </w:r>
      <w:r w:rsidRPr="00FB47C1">
        <w:rPr>
          <w:rFonts w:asciiTheme="majorHAnsi" w:hAnsiTheme="majorHAnsi" w:cs="Times New Roman"/>
          <w:sz w:val="24"/>
          <w:szCs w:val="24"/>
        </w:rPr>
        <w:t xml:space="preserve">advocati </w:t>
      </w:r>
      <w:r w:rsidRPr="00FB47C1">
        <w:rPr>
          <w:rFonts w:asciiTheme="majorHAnsi" w:hAnsiTheme="majorHAnsi" w:cs="Times New Roman"/>
          <w:i/>
          <w:sz w:val="24"/>
          <w:szCs w:val="24"/>
        </w:rPr>
        <w:t xml:space="preserve">nei documenti di Tomasino de Savere, notaio di Ragusa </w:t>
      </w:r>
      <w:r w:rsidRPr="00FB47C1">
        <w:rPr>
          <w:rFonts w:asciiTheme="majorHAnsi" w:hAnsiTheme="majorHAnsi" w:cs="Times New Roman"/>
          <w:sz w:val="24"/>
          <w:szCs w:val="24"/>
        </w:rPr>
        <w:t>// 6th Seminar of Doctoral Studies "History and Economy in the Mediterranean Countries": Public notaries in Mediterranean European societies (14th - 19th century), Napulj, Italija, 2019.).</w:t>
      </w:r>
    </w:p>
    <w:p w14:paraId="0A603921" w14:textId="372F8115" w:rsidR="00FA13B7" w:rsidRPr="00FB47C1" w:rsidRDefault="00FA13B7" w:rsidP="00FA13B7">
      <w:pPr>
        <w:spacing w:after="0" w:line="360" w:lineRule="auto"/>
        <w:ind w:firstLine="708"/>
        <w:jc w:val="both"/>
        <w:rPr>
          <w:rFonts w:asciiTheme="majorHAnsi" w:hAnsiTheme="majorHAnsi" w:cs="Times New Roman"/>
          <w:sz w:val="24"/>
          <w:szCs w:val="24"/>
        </w:rPr>
      </w:pPr>
      <w:r w:rsidRPr="00FB47C1">
        <w:rPr>
          <w:rFonts w:asciiTheme="majorHAnsi" w:hAnsiTheme="majorHAnsi" w:cs="Times New Roman"/>
          <w:sz w:val="24"/>
          <w:szCs w:val="24"/>
        </w:rPr>
        <w:t xml:space="preserve">Značajan doprinos može se ustanoviti i u pogledu analize razvoja određenih aspekata kanonskog prava unutar rimske pravne tradicije. Tu se može istaknuti problematika vezana uz regulu </w:t>
      </w:r>
      <w:r w:rsidRPr="00FB47C1">
        <w:rPr>
          <w:rFonts w:asciiTheme="majorHAnsi" w:hAnsiTheme="majorHAnsi" w:cs="Times New Roman"/>
          <w:i/>
          <w:sz w:val="24"/>
          <w:szCs w:val="24"/>
        </w:rPr>
        <w:t>mala fides superveniens</w:t>
      </w:r>
      <w:r w:rsidRPr="00FB47C1">
        <w:rPr>
          <w:rFonts w:asciiTheme="majorHAnsi" w:hAnsiTheme="majorHAnsi" w:cs="Times New Roman"/>
          <w:sz w:val="24"/>
          <w:szCs w:val="24"/>
        </w:rPr>
        <w:t xml:space="preserve"> (</w:t>
      </w:r>
      <w:r w:rsidRPr="00FB47C1">
        <w:rPr>
          <w:rFonts w:asciiTheme="majorHAnsi" w:hAnsiTheme="majorHAnsi" w:cs="Times New Roman"/>
          <w:i/>
          <w:sz w:val="24"/>
          <w:szCs w:val="24"/>
        </w:rPr>
        <w:t>non</w:t>
      </w:r>
      <w:r w:rsidRPr="00FB47C1">
        <w:rPr>
          <w:rFonts w:asciiTheme="majorHAnsi" w:hAnsiTheme="majorHAnsi" w:cs="Times New Roman"/>
          <w:sz w:val="24"/>
          <w:szCs w:val="24"/>
        </w:rPr>
        <w:t xml:space="preserve">) </w:t>
      </w:r>
      <w:r w:rsidRPr="00FB47C1">
        <w:rPr>
          <w:rFonts w:asciiTheme="majorHAnsi" w:hAnsiTheme="majorHAnsi" w:cs="Times New Roman"/>
          <w:i/>
          <w:sz w:val="24"/>
          <w:szCs w:val="24"/>
        </w:rPr>
        <w:t>nocet</w:t>
      </w:r>
      <w:r w:rsidRPr="00FB47C1">
        <w:rPr>
          <w:rFonts w:asciiTheme="majorHAnsi" w:hAnsiTheme="majorHAnsi" w:cs="Times New Roman"/>
          <w:sz w:val="24"/>
          <w:szCs w:val="24"/>
        </w:rPr>
        <w:t>, odnosno pitanje je li kod dosjelosti (</w:t>
      </w:r>
      <w:r w:rsidRPr="00FB47C1">
        <w:rPr>
          <w:rFonts w:asciiTheme="majorHAnsi" w:hAnsiTheme="majorHAnsi" w:cs="Times New Roman"/>
          <w:i/>
          <w:sz w:val="24"/>
          <w:szCs w:val="24"/>
        </w:rPr>
        <w:t>usucapio</w:t>
      </w:r>
      <w:r w:rsidRPr="00FB47C1">
        <w:rPr>
          <w:rFonts w:asciiTheme="majorHAnsi" w:hAnsiTheme="majorHAnsi" w:cs="Times New Roman"/>
          <w:sz w:val="24"/>
          <w:szCs w:val="24"/>
        </w:rPr>
        <w:t xml:space="preserve">, </w:t>
      </w:r>
      <w:r w:rsidRPr="00FB47C1">
        <w:rPr>
          <w:rFonts w:asciiTheme="majorHAnsi" w:hAnsiTheme="majorHAnsi" w:cs="Times New Roman"/>
          <w:i/>
          <w:sz w:val="24"/>
          <w:szCs w:val="24"/>
        </w:rPr>
        <w:t>praescriptio</w:t>
      </w:r>
      <w:r w:rsidRPr="00FB47C1">
        <w:rPr>
          <w:rFonts w:asciiTheme="majorHAnsi" w:hAnsiTheme="majorHAnsi" w:cs="Times New Roman"/>
          <w:sz w:val="24"/>
          <w:szCs w:val="24"/>
        </w:rPr>
        <w:t>) dostatna dobra vjera (</w:t>
      </w:r>
      <w:r w:rsidRPr="00FB47C1">
        <w:rPr>
          <w:rFonts w:asciiTheme="majorHAnsi" w:hAnsiTheme="majorHAnsi" w:cs="Times New Roman"/>
          <w:i/>
          <w:sz w:val="24"/>
          <w:szCs w:val="24"/>
        </w:rPr>
        <w:t>bona fides</w:t>
      </w:r>
      <w:r w:rsidRPr="00FB47C1">
        <w:rPr>
          <w:rFonts w:asciiTheme="majorHAnsi" w:hAnsiTheme="majorHAnsi" w:cs="Times New Roman"/>
          <w:sz w:val="24"/>
          <w:szCs w:val="24"/>
        </w:rPr>
        <w:t xml:space="preserve">) samo prilikom stjecanja posjeda, ili ona mora postojati cijelim tijekom roka dosjelosti. Uz razradu nastanka i razvoja obaju regula, posebno je analizirana njihova recepcija u velike privatnopravne kodifikacije (francuski </w:t>
      </w:r>
      <w:r w:rsidRPr="00FB47C1">
        <w:rPr>
          <w:rFonts w:asciiTheme="majorHAnsi" w:hAnsiTheme="majorHAnsi" w:cs="Times New Roman"/>
          <w:i/>
          <w:sz w:val="24"/>
          <w:szCs w:val="24"/>
        </w:rPr>
        <w:t>Code civile</w:t>
      </w:r>
      <w:r w:rsidRPr="00FB47C1">
        <w:rPr>
          <w:rFonts w:asciiTheme="majorHAnsi" w:hAnsiTheme="majorHAnsi" w:cs="Times New Roman"/>
          <w:sz w:val="24"/>
          <w:szCs w:val="24"/>
        </w:rPr>
        <w:t xml:space="preserve"> i brojne derivate poput talijanskog, španjolskog, čileanskog itd. građanskog zakonika te njemački </w:t>
      </w:r>
      <w:r w:rsidRPr="00FB47C1">
        <w:rPr>
          <w:rFonts w:asciiTheme="majorHAnsi" w:hAnsiTheme="majorHAnsi" w:cs="Times New Roman"/>
          <w:i/>
          <w:sz w:val="24"/>
          <w:szCs w:val="24"/>
        </w:rPr>
        <w:t>Bürgerliches Gesetzbuch</w:t>
      </w:r>
      <w:r w:rsidRPr="00FB47C1">
        <w:rPr>
          <w:rFonts w:asciiTheme="majorHAnsi" w:hAnsiTheme="majorHAnsi" w:cs="Times New Roman"/>
          <w:sz w:val="24"/>
          <w:szCs w:val="24"/>
        </w:rPr>
        <w:t xml:space="preserve"> i pravne sustave koji su slijedili to uređenje poput švicarskog, ruskog, hrvatskog i dr. prava) (rad: Mala fides superveniens </w:t>
      </w:r>
      <w:r w:rsidRPr="00FB47C1">
        <w:rPr>
          <w:rFonts w:asciiTheme="majorHAnsi" w:hAnsiTheme="majorHAnsi" w:cs="Times New Roman"/>
          <w:i/>
          <w:sz w:val="24"/>
          <w:szCs w:val="24"/>
        </w:rPr>
        <w:t>(</w:t>
      </w:r>
      <w:r w:rsidRPr="00FB47C1">
        <w:rPr>
          <w:rFonts w:asciiTheme="majorHAnsi" w:hAnsiTheme="majorHAnsi" w:cs="Times New Roman"/>
          <w:sz w:val="24"/>
          <w:szCs w:val="24"/>
        </w:rPr>
        <w:t>non</w:t>
      </w:r>
      <w:r w:rsidRPr="00FB47C1">
        <w:rPr>
          <w:rFonts w:asciiTheme="majorHAnsi" w:hAnsiTheme="majorHAnsi" w:cs="Times New Roman"/>
          <w:i/>
          <w:sz w:val="24"/>
          <w:szCs w:val="24"/>
        </w:rPr>
        <w:t>)</w:t>
      </w:r>
      <w:r w:rsidRPr="00FB47C1">
        <w:rPr>
          <w:rFonts w:asciiTheme="majorHAnsi" w:hAnsiTheme="majorHAnsi" w:cs="Times New Roman"/>
          <w:sz w:val="24"/>
          <w:szCs w:val="24"/>
        </w:rPr>
        <w:t xml:space="preserve"> nocet </w:t>
      </w:r>
      <w:r w:rsidRPr="00FB47C1">
        <w:rPr>
          <w:rFonts w:asciiTheme="majorHAnsi" w:hAnsiTheme="majorHAnsi" w:cs="Times New Roman"/>
          <w:i/>
          <w:sz w:val="24"/>
          <w:szCs w:val="24"/>
        </w:rPr>
        <w:t>kod dosjelosti u rimsko-kanonskoj pravnoj tradiciji i suvremenim pravnim sustavima</w:t>
      </w:r>
      <w:r w:rsidRPr="00FB47C1">
        <w:rPr>
          <w:rFonts w:asciiTheme="majorHAnsi" w:hAnsiTheme="majorHAnsi" w:cs="Times New Roman"/>
          <w:sz w:val="24"/>
          <w:szCs w:val="24"/>
        </w:rPr>
        <w:t xml:space="preserve"> // Godišnjak Akademije pravnih znanosti Hrvatske = Yearbook Croatian Academy of Legal Sciences, 12 (2021), 1; 131-151). U sličnom kontekstu može se istaknuti i analiza odnosa kanonskog i suvremenog </w:t>
      </w:r>
      <w:r w:rsidRPr="00FB47C1">
        <w:rPr>
          <w:rFonts w:asciiTheme="majorHAnsi" w:hAnsiTheme="majorHAnsi" w:cs="Times New Roman"/>
          <w:sz w:val="24"/>
          <w:szCs w:val="24"/>
        </w:rPr>
        <w:lastRenderedPageBreak/>
        <w:t>hrvatskog prava temeljem Ugovora između Svete Stolice i Republike Hrvatske o pravnim pitanjima, i to u pogledu stjecanja imovine dosjelošću od strane crkvenih pravnih osoba, odnosno stjecanja imovine crkvenih pravnih osoba od bilo koje druge osobe. Nasuprot dosadašnjim shvaćanjima, izv. prof. Held je ustvrdio primjenu kanonskog standarda dobre vjere (</w:t>
      </w:r>
      <w:r w:rsidRPr="00FB47C1">
        <w:rPr>
          <w:rFonts w:asciiTheme="majorHAnsi" w:hAnsiTheme="majorHAnsi" w:cs="Times New Roman"/>
          <w:i/>
          <w:sz w:val="24"/>
          <w:szCs w:val="24"/>
        </w:rPr>
        <w:t>bona fides</w:t>
      </w:r>
      <w:r w:rsidRPr="00FB47C1">
        <w:rPr>
          <w:rFonts w:asciiTheme="majorHAnsi" w:hAnsiTheme="majorHAnsi" w:cs="Times New Roman"/>
          <w:sz w:val="24"/>
          <w:szCs w:val="24"/>
        </w:rPr>
        <w:t xml:space="preserve">), koji je bitno stroži od standarda poštenja posjeda suvremenog hrvatskog prava, u oba navedena slučaja (rad: Bona fides </w:t>
      </w:r>
      <w:r w:rsidRPr="00FB47C1">
        <w:rPr>
          <w:rFonts w:asciiTheme="majorHAnsi" w:hAnsiTheme="majorHAnsi" w:cs="Times New Roman"/>
          <w:i/>
          <w:sz w:val="24"/>
          <w:szCs w:val="24"/>
        </w:rPr>
        <w:t>(poštenje posjeda) kod zastare (</w:t>
      </w:r>
      <w:r w:rsidRPr="00FB47C1">
        <w:rPr>
          <w:rFonts w:asciiTheme="majorHAnsi" w:hAnsiTheme="majorHAnsi" w:cs="Times New Roman"/>
          <w:sz w:val="24"/>
          <w:szCs w:val="24"/>
        </w:rPr>
        <w:t>praescriptio acquisitiva</w:t>
      </w:r>
      <w:r w:rsidRPr="00FB47C1">
        <w:rPr>
          <w:rFonts w:asciiTheme="majorHAnsi" w:hAnsiTheme="majorHAnsi" w:cs="Times New Roman"/>
          <w:i/>
          <w:sz w:val="24"/>
          <w:szCs w:val="24"/>
        </w:rPr>
        <w:t>) i dosjelosti (</w:t>
      </w:r>
      <w:r w:rsidRPr="00FB47C1">
        <w:rPr>
          <w:rFonts w:asciiTheme="majorHAnsi" w:hAnsiTheme="majorHAnsi" w:cs="Times New Roman"/>
          <w:sz w:val="24"/>
          <w:szCs w:val="24"/>
        </w:rPr>
        <w:t>usucapio</w:t>
      </w:r>
      <w:r w:rsidRPr="00FB47C1">
        <w:rPr>
          <w:rFonts w:asciiTheme="majorHAnsi" w:hAnsiTheme="majorHAnsi" w:cs="Times New Roman"/>
          <w:i/>
          <w:sz w:val="24"/>
          <w:szCs w:val="24"/>
        </w:rPr>
        <w:t xml:space="preserve">) – prilog raspravi o suodnosu kanonskog i hrvatskog prava </w:t>
      </w:r>
      <w:r w:rsidRPr="00FB47C1">
        <w:rPr>
          <w:rFonts w:asciiTheme="majorHAnsi" w:hAnsiTheme="majorHAnsi" w:cs="Times New Roman"/>
          <w:sz w:val="24"/>
          <w:szCs w:val="24"/>
        </w:rPr>
        <w:t>// Zbornik Pravnog fakulteta u Zagrebu, 70 (2020), 6; 755-781).</w:t>
      </w:r>
    </w:p>
    <w:p w14:paraId="287C4E41" w14:textId="77777777" w:rsidR="00FA13B7" w:rsidRPr="00FB47C1" w:rsidRDefault="00FA13B7" w:rsidP="00FA13B7">
      <w:pPr>
        <w:pStyle w:val="StandardWeb"/>
        <w:shd w:val="clear" w:color="auto" w:fill="FFFFFF"/>
        <w:spacing w:after="158" w:line="360" w:lineRule="auto"/>
        <w:ind w:firstLine="708"/>
        <w:jc w:val="both"/>
        <w:rPr>
          <w:rFonts w:asciiTheme="majorHAnsi" w:hAnsiTheme="majorHAnsi"/>
        </w:rPr>
      </w:pPr>
      <w:r w:rsidRPr="00FB47C1">
        <w:rPr>
          <w:rFonts w:asciiTheme="majorHAnsi" w:hAnsiTheme="majorHAnsi"/>
        </w:rPr>
        <w:t xml:space="preserve">Naposljetku valja istaknuti da je u svojem opusu izv. prof. Held uvijek imao u vidu i suvremene praktične aspekte pravne analize, pa je tako obrađivao institute iz rimskog prava i rimske pravne tradicije u kontekstu suvremene hrvatske sudske prakse (radovi: </w:t>
      </w:r>
      <w:r w:rsidRPr="00FB47C1">
        <w:rPr>
          <w:rFonts w:asciiTheme="majorHAnsi" w:hAnsiTheme="majorHAnsi"/>
          <w:i/>
        </w:rPr>
        <w:t>Kondikcijski i verzijski zahtjevi</w:t>
      </w:r>
      <w:r w:rsidRPr="00FB47C1">
        <w:rPr>
          <w:rFonts w:asciiTheme="majorHAnsi" w:hAnsiTheme="majorHAnsi"/>
        </w:rPr>
        <w:t xml:space="preserve"> de iure condito // Pravo u gospodarstvu: časopis za gospodarsko- pravnu teoriju i praksu, 54 (2015), 6; 1343-1366, </w:t>
      </w:r>
      <w:r w:rsidRPr="00FB47C1">
        <w:rPr>
          <w:rFonts w:asciiTheme="majorHAnsi" w:hAnsiTheme="majorHAnsi"/>
          <w:i/>
          <w:color w:val="000000"/>
        </w:rPr>
        <w:t>Relevantnost instituta poslovodstva bez naloga u sudskoj praksi</w:t>
      </w:r>
      <w:r w:rsidRPr="00FB47C1">
        <w:rPr>
          <w:rFonts w:asciiTheme="majorHAnsi" w:hAnsiTheme="majorHAnsi"/>
          <w:color w:val="000000"/>
        </w:rPr>
        <w:t xml:space="preserve"> // Informator : instruktivno-informativni list za ekonomska i pravna pitanja, 69 (2021), 6683 - 6684; 21-24, </w:t>
      </w:r>
      <w:r w:rsidRPr="00FB47C1">
        <w:rPr>
          <w:rFonts w:asciiTheme="majorHAnsi" w:hAnsiTheme="majorHAnsi"/>
          <w:i/>
          <w:color w:val="000000"/>
        </w:rPr>
        <w:t>Konkurencija zahtjeva za naknadu troškova na tuđoj stvari - zahtjev poslovođe bez naloga i (protu)zahtjev posjednika kod reivindikacije</w:t>
      </w:r>
      <w:r w:rsidRPr="00FB47C1">
        <w:rPr>
          <w:rFonts w:asciiTheme="majorHAnsi" w:hAnsiTheme="majorHAnsi"/>
          <w:color w:val="000000"/>
        </w:rPr>
        <w:t xml:space="preserve"> // Informator : instruktivno-informativni list za ekonomska i pravna pitanja, 69 (2021), 6681; 13-17, </w:t>
      </w:r>
      <w:r w:rsidRPr="00FB47C1">
        <w:rPr>
          <w:rFonts w:asciiTheme="majorHAnsi" w:hAnsiTheme="majorHAnsi"/>
          <w:i/>
          <w:color w:val="000000"/>
        </w:rPr>
        <w:t>Konkurencija verzijskog zahtjeva i sporednog zahtjeva uz reivindikaciju za naknadu koristi u sudskoj praksi</w:t>
      </w:r>
      <w:r w:rsidRPr="00FB47C1">
        <w:rPr>
          <w:rFonts w:asciiTheme="majorHAnsi" w:hAnsiTheme="majorHAnsi"/>
          <w:color w:val="000000"/>
        </w:rPr>
        <w:t xml:space="preserve"> // Informator : instruktivno-informativni list za ekonomska i pravna pitanja, 69 (2021), 6675; 17-20; znanstveni skupovi: </w:t>
      </w:r>
      <w:r w:rsidRPr="00FB47C1">
        <w:rPr>
          <w:rFonts w:asciiTheme="majorHAnsi" w:hAnsiTheme="majorHAnsi"/>
        </w:rPr>
        <w:t xml:space="preserve">Actio de in rem verso </w:t>
      </w:r>
      <w:r w:rsidRPr="00FB47C1">
        <w:rPr>
          <w:rFonts w:asciiTheme="majorHAnsi" w:hAnsiTheme="majorHAnsi"/>
          <w:i/>
        </w:rPr>
        <w:t>(verzijski zahtjev) u hrvatskom i poredbenom pravu</w:t>
      </w:r>
      <w:r w:rsidRPr="00FB47C1">
        <w:rPr>
          <w:rFonts w:asciiTheme="majorHAnsi" w:hAnsiTheme="majorHAnsi"/>
        </w:rPr>
        <w:t xml:space="preserve"> // Zagreb International Conference on the Law of Obligations, Zagreb, Hrvatska, 2019).</w:t>
      </w:r>
    </w:p>
    <w:p w14:paraId="43D2CDFC" w14:textId="48D9CFA7" w:rsidR="00FA13B7" w:rsidRPr="00FB47C1" w:rsidRDefault="00FA13B7" w:rsidP="00FA13B7">
      <w:pPr>
        <w:pStyle w:val="StandardWeb"/>
        <w:shd w:val="clear" w:color="auto" w:fill="FFFFFF"/>
        <w:spacing w:after="158" w:line="360" w:lineRule="auto"/>
        <w:ind w:firstLine="708"/>
        <w:jc w:val="both"/>
        <w:rPr>
          <w:rFonts w:asciiTheme="majorHAnsi" w:hAnsiTheme="majorHAnsi"/>
        </w:rPr>
      </w:pPr>
      <w:r w:rsidRPr="00FB47C1">
        <w:rPr>
          <w:rFonts w:asciiTheme="majorHAnsi" w:hAnsiTheme="majorHAnsi"/>
        </w:rPr>
        <w:t xml:space="preserve">Sve navedeno, kao i mnogi drugi radovi te sudjelovanja na znanstvenim seminarima i skupovima, bilo je dio istraživanja u sklopu sudjelovanja na više znanstvenih projekata (projekt </w:t>
      </w:r>
      <w:r w:rsidRPr="00FB47C1">
        <w:rPr>
          <w:rFonts w:asciiTheme="majorHAnsi" w:hAnsiTheme="majorHAnsi"/>
          <w:i/>
        </w:rPr>
        <w:t>Rimska pravna tradicija i europeizacija hrvatskog privatnog prava</w:t>
      </w:r>
      <w:r w:rsidRPr="00FB47C1">
        <w:rPr>
          <w:rFonts w:asciiTheme="majorHAnsi" w:hAnsiTheme="majorHAnsi"/>
        </w:rPr>
        <w:t xml:space="preserve"> (voditelj prof. dr. sc. Marko Petrak, šifra projekta: 066-0662501-2516), (2011-2014); projekt </w:t>
      </w:r>
      <w:r w:rsidRPr="00FB47C1">
        <w:rPr>
          <w:rFonts w:asciiTheme="majorHAnsi" w:hAnsiTheme="majorHAnsi"/>
          <w:i/>
        </w:rPr>
        <w:t>Preobrazba građanskog pravosuđa pod utjecajem globalnih i regionalnih integracijskih procesa. Jedinstvo i različitost</w:t>
      </w:r>
      <w:r w:rsidRPr="00FB47C1">
        <w:rPr>
          <w:rFonts w:asciiTheme="majorHAnsi" w:hAnsiTheme="majorHAnsi"/>
        </w:rPr>
        <w:t xml:space="preserve"> (voditelj prof. dr. sc. Alan Uzelac, šifra projekta: 6988), (2015-2018); projekt </w:t>
      </w:r>
      <w:r w:rsidRPr="00FB47C1">
        <w:rPr>
          <w:rFonts w:asciiTheme="majorHAnsi" w:hAnsiTheme="majorHAnsi"/>
          <w:i/>
        </w:rPr>
        <w:t>Religija i pravo u Republici Hrvatskoj – rimsko-kanonski temelji i suvremeno uređenje</w:t>
      </w:r>
      <w:r w:rsidRPr="00FB47C1">
        <w:rPr>
          <w:rFonts w:asciiTheme="majorHAnsi" w:hAnsiTheme="majorHAnsi"/>
        </w:rPr>
        <w:t xml:space="preserve"> za 2021. (financirano potporama Sveučilišta u Zagrebu); projekt </w:t>
      </w:r>
      <w:r w:rsidRPr="00FB47C1">
        <w:rPr>
          <w:rFonts w:asciiTheme="majorHAnsi" w:hAnsiTheme="majorHAnsi"/>
          <w:i/>
        </w:rPr>
        <w:t>Rimsko-kanonska pravna tradicija i europeizacija hrvatskog prava</w:t>
      </w:r>
      <w:r w:rsidRPr="00FB47C1">
        <w:rPr>
          <w:rFonts w:asciiTheme="majorHAnsi" w:hAnsiTheme="majorHAnsi"/>
        </w:rPr>
        <w:t xml:space="preserve"> 2015. – 2019. (financirano potporama Sveučilišta u Zagrebu)).</w:t>
      </w:r>
    </w:p>
    <w:p w14:paraId="67000844" w14:textId="074A074D" w:rsidR="00A57C49" w:rsidRPr="00FB47C1" w:rsidRDefault="00A57C49" w:rsidP="00FA13B7">
      <w:pPr>
        <w:pStyle w:val="StandardWeb"/>
        <w:shd w:val="clear" w:color="auto" w:fill="FFFFFF"/>
        <w:spacing w:after="158" w:line="360" w:lineRule="auto"/>
        <w:ind w:firstLine="708"/>
        <w:jc w:val="both"/>
        <w:rPr>
          <w:rFonts w:asciiTheme="majorHAnsi" w:hAnsiTheme="majorHAnsi"/>
        </w:rPr>
      </w:pPr>
    </w:p>
    <w:p w14:paraId="3E06CC58" w14:textId="16272CFB" w:rsidR="00A57C49" w:rsidRPr="00FB47C1" w:rsidRDefault="00A57C49" w:rsidP="00FA13B7">
      <w:pPr>
        <w:pStyle w:val="StandardWeb"/>
        <w:shd w:val="clear" w:color="auto" w:fill="FFFFFF"/>
        <w:spacing w:after="158" w:line="360" w:lineRule="auto"/>
        <w:ind w:firstLine="708"/>
        <w:jc w:val="both"/>
        <w:rPr>
          <w:rFonts w:asciiTheme="majorHAnsi" w:hAnsiTheme="majorHAnsi"/>
        </w:rPr>
      </w:pPr>
      <w:r w:rsidRPr="00FB47C1">
        <w:rPr>
          <w:rFonts w:asciiTheme="majorHAnsi" w:hAnsiTheme="majorHAnsi"/>
        </w:rPr>
        <w:t xml:space="preserve">Iz svega je razvidno da je riječ o znanstveniku koji minuciozno istražuje rimskopravnu tradiciju, no i više od toga, a što je osobito važno, povezuje suvremene pravne sustave s rimskopravnim temeljima, čime pridonosi „oživljavanju“ pravnih temelja ne samo hrvatskoga pravnog sustava, već i boljem razumijevanju suvremenih pravnih rješenja. Smatram da je znanstveni doprinos kolege izv. prof. dr. sc. Henrika-Rike Helda izuzetan te da </w:t>
      </w:r>
      <w:r w:rsidR="00FB47C1" w:rsidRPr="00FB47C1">
        <w:rPr>
          <w:rFonts w:asciiTheme="majorHAnsi" w:hAnsiTheme="majorHAnsi"/>
        </w:rPr>
        <w:t xml:space="preserve">će </w:t>
      </w:r>
      <w:r w:rsidRPr="00FB47C1">
        <w:rPr>
          <w:rFonts w:asciiTheme="majorHAnsi" w:hAnsiTheme="majorHAnsi"/>
        </w:rPr>
        <w:t xml:space="preserve">njegovo moguće članstvo u Akademiji pravnih znanosti Hrvatske </w:t>
      </w:r>
      <w:r w:rsidR="00FB47C1" w:rsidRPr="00FB47C1">
        <w:rPr>
          <w:rFonts w:asciiTheme="majorHAnsi" w:hAnsiTheme="majorHAnsi"/>
        </w:rPr>
        <w:t>biti od velikog značenja ne samo za kolegu osobno, već i Akademiju. Njegovo članstvo bit će priznanje važnosti izučavanja pravne povijesti ponikle iz rimskopravne tradicije i novi poticaj za još brojnija istraživanja, znanstvene radove i projekte.</w:t>
      </w:r>
    </w:p>
    <w:p w14:paraId="77F5458A" w14:textId="1779AD5B" w:rsidR="00FB47C1" w:rsidRPr="00FB47C1" w:rsidRDefault="00FB47C1" w:rsidP="00FA13B7">
      <w:pPr>
        <w:pStyle w:val="StandardWeb"/>
        <w:shd w:val="clear" w:color="auto" w:fill="FFFFFF"/>
        <w:spacing w:after="158" w:line="360" w:lineRule="auto"/>
        <w:ind w:firstLine="708"/>
        <w:jc w:val="both"/>
        <w:rPr>
          <w:rFonts w:asciiTheme="majorHAnsi" w:hAnsiTheme="majorHAnsi"/>
        </w:rPr>
      </w:pPr>
    </w:p>
    <w:p w14:paraId="31FC3707" w14:textId="2A56205B" w:rsidR="00FB47C1" w:rsidRDefault="00FB47C1" w:rsidP="00FA13B7">
      <w:pPr>
        <w:pStyle w:val="StandardWeb"/>
        <w:shd w:val="clear" w:color="auto" w:fill="FFFFFF"/>
        <w:spacing w:after="158" w:line="360" w:lineRule="auto"/>
        <w:ind w:firstLine="708"/>
        <w:jc w:val="both"/>
        <w:rPr>
          <w:rFonts w:asciiTheme="majorHAnsi" w:hAnsiTheme="majorHAnsi"/>
        </w:rPr>
      </w:pPr>
      <w:bookmarkStart w:id="0" w:name="_Hlk45120280"/>
      <w:r>
        <w:rPr>
          <w:noProof/>
        </w:rPr>
        <w:drawing>
          <wp:inline distT="0" distB="0" distL="0" distR="0" wp14:anchorId="27E3CB41" wp14:editId="7F27B30D">
            <wp:extent cx="2857500" cy="66675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0" cy="666750"/>
                    </a:xfrm>
                    <a:prstGeom prst="rect">
                      <a:avLst/>
                    </a:prstGeom>
                    <a:noFill/>
                    <a:ln>
                      <a:noFill/>
                    </a:ln>
                  </pic:spPr>
                </pic:pic>
              </a:graphicData>
            </a:graphic>
          </wp:inline>
        </w:drawing>
      </w:r>
      <w:bookmarkEnd w:id="0"/>
    </w:p>
    <w:p w14:paraId="45240CF0" w14:textId="131130C7" w:rsidR="001E52E6" w:rsidRDefault="001E52E6" w:rsidP="00FA13B7">
      <w:pPr>
        <w:pStyle w:val="StandardWeb"/>
        <w:shd w:val="clear" w:color="auto" w:fill="FFFFFF"/>
        <w:spacing w:after="158" w:line="360" w:lineRule="auto"/>
        <w:ind w:firstLine="708"/>
        <w:jc w:val="both"/>
        <w:rPr>
          <w:rFonts w:asciiTheme="majorHAnsi" w:hAnsiTheme="majorHAnsi"/>
        </w:rPr>
      </w:pPr>
    </w:p>
    <w:p w14:paraId="1588F0C0" w14:textId="4188C0E7" w:rsidR="001E52E6" w:rsidRDefault="001E52E6" w:rsidP="00FA13B7">
      <w:pPr>
        <w:pStyle w:val="StandardWeb"/>
        <w:shd w:val="clear" w:color="auto" w:fill="FFFFFF"/>
        <w:spacing w:after="158" w:line="360" w:lineRule="auto"/>
        <w:ind w:firstLine="708"/>
        <w:jc w:val="both"/>
        <w:rPr>
          <w:rFonts w:asciiTheme="majorHAnsi" w:hAnsiTheme="majorHAnsi"/>
        </w:rPr>
      </w:pPr>
    </w:p>
    <w:p w14:paraId="365D3EE0" w14:textId="525E8579" w:rsidR="001E52E6" w:rsidRPr="00FB47C1" w:rsidRDefault="001E52E6" w:rsidP="00FA13B7">
      <w:pPr>
        <w:pStyle w:val="StandardWeb"/>
        <w:shd w:val="clear" w:color="auto" w:fill="FFFFFF"/>
        <w:spacing w:after="158" w:line="360" w:lineRule="auto"/>
        <w:ind w:firstLine="708"/>
        <w:jc w:val="both"/>
        <w:rPr>
          <w:rFonts w:asciiTheme="majorHAnsi" w:hAnsiTheme="majorHAnsi"/>
        </w:rPr>
      </w:pPr>
      <w:r>
        <w:rPr>
          <w:rFonts w:asciiTheme="majorHAnsi" w:hAnsiTheme="majorHAnsi"/>
        </w:rPr>
        <w:t>U Zagrebu, 4. veljače 2022.</w:t>
      </w:r>
    </w:p>
    <w:p w14:paraId="7BA66181" w14:textId="77777777" w:rsidR="00FB47C1" w:rsidRPr="00FB47C1" w:rsidRDefault="00FB47C1" w:rsidP="00FA13B7">
      <w:pPr>
        <w:pStyle w:val="StandardWeb"/>
        <w:shd w:val="clear" w:color="auto" w:fill="FFFFFF"/>
        <w:spacing w:after="158" w:line="360" w:lineRule="auto"/>
        <w:ind w:firstLine="708"/>
        <w:jc w:val="both"/>
        <w:rPr>
          <w:rFonts w:asciiTheme="majorHAnsi" w:hAnsiTheme="majorHAnsi"/>
        </w:rPr>
      </w:pPr>
    </w:p>
    <w:p w14:paraId="7F65C668" w14:textId="77777777" w:rsidR="007F0F62" w:rsidRPr="00FB47C1" w:rsidRDefault="007F0F62">
      <w:pPr>
        <w:rPr>
          <w:rFonts w:asciiTheme="majorHAnsi" w:hAnsiTheme="majorHAnsi"/>
        </w:rPr>
      </w:pPr>
    </w:p>
    <w:sectPr w:rsidR="007F0F62" w:rsidRPr="00FB47C1">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C1D28" w14:textId="77777777" w:rsidR="00C53D3C" w:rsidRDefault="00C53D3C" w:rsidP="00FB47C1">
      <w:pPr>
        <w:spacing w:after="0" w:line="240" w:lineRule="auto"/>
      </w:pPr>
      <w:r>
        <w:separator/>
      </w:r>
    </w:p>
  </w:endnote>
  <w:endnote w:type="continuationSeparator" w:id="0">
    <w:p w14:paraId="547A0392" w14:textId="77777777" w:rsidR="00C53D3C" w:rsidRDefault="00C53D3C" w:rsidP="00FB47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1225E" w14:textId="77777777" w:rsidR="00FB47C1" w:rsidRDefault="00FB47C1">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1987284"/>
      <w:docPartObj>
        <w:docPartGallery w:val="Page Numbers (Bottom of Page)"/>
        <w:docPartUnique/>
      </w:docPartObj>
    </w:sdtPr>
    <w:sdtEndPr/>
    <w:sdtContent>
      <w:p w14:paraId="42746A56" w14:textId="78077DFE" w:rsidR="00FB47C1" w:rsidRDefault="00FB47C1">
        <w:pPr>
          <w:pStyle w:val="Podnoje"/>
          <w:jc w:val="right"/>
        </w:pPr>
        <w:r>
          <w:fldChar w:fldCharType="begin"/>
        </w:r>
        <w:r>
          <w:instrText>PAGE   \* MERGEFORMAT</w:instrText>
        </w:r>
        <w:r>
          <w:fldChar w:fldCharType="separate"/>
        </w:r>
        <w:r>
          <w:t>2</w:t>
        </w:r>
        <w:r>
          <w:fldChar w:fldCharType="end"/>
        </w:r>
      </w:p>
    </w:sdtContent>
  </w:sdt>
  <w:p w14:paraId="6D3E9674" w14:textId="77777777" w:rsidR="00FB47C1" w:rsidRDefault="00FB47C1">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DC0A5" w14:textId="77777777" w:rsidR="00FB47C1" w:rsidRDefault="00FB47C1">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DDBA1" w14:textId="77777777" w:rsidR="00C53D3C" w:rsidRDefault="00C53D3C" w:rsidP="00FB47C1">
      <w:pPr>
        <w:spacing w:after="0" w:line="240" w:lineRule="auto"/>
      </w:pPr>
      <w:r>
        <w:separator/>
      </w:r>
    </w:p>
  </w:footnote>
  <w:footnote w:type="continuationSeparator" w:id="0">
    <w:p w14:paraId="2ABF4B40" w14:textId="77777777" w:rsidR="00C53D3C" w:rsidRDefault="00C53D3C" w:rsidP="00FB47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57238" w14:textId="77777777" w:rsidR="00FB47C1" w:rsidRDefault="00FB47C1">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E8C79" w14:textId="77777777" w:rsidR="00FB47C1" w:rsidRDefault="00FB47C1">
    <w:pPr>
      <w:pStyle w:val="Zaglavlj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90EB8" w14:textId="77777777" w:rsidR="00FB47C1" w:rsidRDefault="00FB47C1">
    <w:pPr>
      <w:pStyle w:val="Zaglavlj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3B7"/>
    <w:rsid w:val="00137AC2"/>
    <w:rsid w:val="001A1DA9"/>
    <w:rsid w:val="001E52E6"/>
    <w:rsid w:val="00310BA7"/>
    <w:rsid w:val="007F0F62"/>
    <w:rsid w:val="00A57C49"/>
    <w:rsid w:val="00B0458A"/>
    <w:rsid w:val="00BB6C7F"/>
    <w:rsid w:val="00BE1137"/>
    <w:rsid w:val="00C53D3C"/>
    <w:rsid w:val="00E26C23"/>
    <w:rsid w:val="00E62911"/>
    <w:rsid w:val="00F935B1"/>
    <w:rsid w:val="00FA13B7"/>
    <w:rsid w:val="00FB47C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7A69B"/>
  <w15:chartTrackingRefBased/>
  <w15:docId w15:val="{5EE35448-7BA8-4532-87D5-2A21F8F7D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heme="minorBidi"/>
        <w:bCs/>
        <w:sz w:val="24"/>
        <w:szCs w:val="24"/>
        <w:lang w:val="hr-HR"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13B7"/>
    <w:pPr>
      <w:spacing w:after="160" w:line="259" w:lineRule="auto"/>
    </w:pPr>
    <w:rPr>
      <w:rFonts w:asciiTheme="minorHAnsi" w:hAnsiTheme="minorHAnsi"/>
      <w:bCs w:val="0"/>
      <w:sz w:val="22"/>
      <w:szCs w:val="22"/>
    </w:rPr>
  </w:style>
  <w:style w:type="paragraph" w:styleId="Naslov1">
    <w:name w:val="heading 1"/>
    <w:basedOn w:val="Normal"/>
    <w:next w:val="Normal"/>
    <w:link w:val="Naslov1Char"/>
    <w:uiPriority w:val="9"/>
    <w:qFormat/>
    <w:rsid w:val="00E26C23"/>
    <w:pPr>
      <w:keepNext/>
      <w:keepLines/>
      <w:spacing w:before="360" w:after="40" w:line="240" w:lineRule="auto"/>
      <w:outlineLvl w:val="0"/>
    </w:pPr>
    <w:rPr>
      <w:rFonts w:asciiTheme="majorHAnsi" w:eastAsiaTheme="majorEastAsia" w:hAnsiTheme="majorHAnsi" w:cstheme="majorBidi"/>
      <w:bCs/>
      <w:color w:val="90571E" w:themeColor="accent6" w:themeShade="BF"/>
      <w:sz w:val="40"/>
      <w:szCs w:val="40"/>
    </w:rPr>
  </w:style>
  <w:style w:type="paragraph" w:styleId="Naslov2">
    <w:name w:val="heading 2"/>
    <w:basedOn w:val="Normal"/>
    <w:next w:val="Normal"/>
    <w:link w:val="Naslov2Char"/>
    <w:uiPriority w:val="9"/>
    <w:semiHidden/>
    <w:unhideWhenUsed/>
    <w:qFormat/>
    <w:rsid w:val="00E26C23"/>
    <w:pPr>
      <w:keepNext/>
      <w:keepLines/>
      <w:spacing w:before="80" w:after="0" w:line="240" w:lineRule="auto"/>
      <w:outlineLvl w:val="1"/>
    </w:pPr>
    <w:rPr>
      <w:rFonts w:asciiTheme="majorHAnsi" w:eastAsiaTheme="majorEastAsia" w:hAnsiTheme="majorHAnsi" w:cstheme="majorBidi"/>
      <w:bCs/>
      <w:color w:val="90571E" w:themeColor="accent6" w:themeShade="BF"/>
      <w:sz w:val="28"/>
      <w:szCs w:val="28"/>
    </w:rPr>
  </w:style>
  <w:style w:type="paragraph" w:styleId="Naslov3">
    <w:name w:val="heading 3"/>
    <w:basedOn w:val="Normal"/>
    <w:next w:val="Normal"/>
    <w:link w:val="Naslov3Char"/>
    <w:uiPriority w:val="9"/>
    <w:semiHidden/>
    <w:unhideWhenUsed/>
    <w:qFormat/>
    <w:rsid w:val="00E26C23"/>
    <w:pPr>
      <w:keepNext/>
      <w:keepLines/>
      <w:spacing w:before="80" w:after="0" w:line="240" w:lineRule="auto"/>
      <w:outlineLvl w:val="2"/>
    </w:pPr>
    <w:rPr>
      <w:rFonts w:asciiTheme="majorHAnsi" w:eastAsiaTheme="majorEastAsia" w:hAnsiTheme="majorHAnsi" w:cstheme="majorBidi"/>
      <w:bCs/>
      <w:color w:val="90571E" w:themeColor="accent6" w:themeShade="BF"/>
      <w:sz w:val="24"/>
      <w:szCs w:val="24"/>
    </w:rPr>
  </w:style>
  <w:style w:type="paragraph" w:styleId="Naslov4">
    <w:name w:val="heading 4"/>
    <w:basedOn w:val="Normal"/>
    <w:next w:val="Normal"/>
    <w:link w:val="Naslov4Char"/>
    <w:uiPriority w:val="9"/>
    <w:semiHidden/>
    <w:unhideWhenUsed/>
    <w:qFormat/>
    <w:rsid w:val="00E26C23"/>
    <w:pPr>
      <w:keepNext/>
      <w:keepLines/>
      <w:spacing w:before="80" w:after="0" w:line="288" w:lineRule="auto"/>
      <w:outlineLvl w:val="3"/>
    </w:pPr>
    <w:rPr>
      <w:rFonts w:asciiTheme="majorHAnsi" w:eastAsiaTheme="majorEastAsia" w:hAnsiTheme="majorHAnsi" w:cstheme="majorBidi"/>
      <w:bCs/>
      <w:color w:val="C17529" w:themeColor="accent6"/>
    </w:rPr>
  </w:style>
  <w:style w:type="paragraph" w:styleId="Naslov5">
    <w:name w:val="heading 5"/>
    <w:basedOn w:val="Normal"/>
    <w:next w:val="Normal"/>
    <w:link w:val="Naslov5Char"/>
    <w:uiPriority w:val="9"/>
    <w:semiHidden/>
    <w:unhideWhenUsed/>
    <w:qFormat/>
    <w:rsid w:val="00E26C23"/>
    <w:pPr>
      <w:keepNext/>
      <w:keepLines/>
      <w:spacing w:before="40" w:after="0" w:line="288" w:lineRule="auto"/>
      <w:outlineLvl w:val="4"/>
    </w:pPr>
    <w:rPr>
      <w:rFonts w:asciiTheme="majorHAnsi" w:eastAsiaTheme="majorEastAsia" w:hAnsiTheme="majorHAnsi" w:cstheme="majorBidi"/>
      <w:bCs/>
      <w:i/>
      <w:iCs/>
      <w:color w:val="C17529" w:themeColor="accent6"/>
    </w:rPr>
  </w:style>
  <w:style w:type="paragraph" w:styleId="Naslov6">
    <w:name w:val="heading 6"/>
    <w:basedOn w:val="Normal"/>
    <w:next w:val="Normal"/>
    <w:link w:val="Naslov6Char"/>
    <w:uiPriority w:val="9"/>
    <w:semiHidden/>
    <w:unhideWhenUsed/>
    <w:qFormat/>
    <w:rsid w:val="00E26C23"/>
    <w:pPr>
      <w:keepNext/>
      <w:keepLines/>
      <w:spacing w:before="40" w:after="0" w:line="288" w:lineRule="auto"/>
      <w:outlineLvl w:val="5"/>
    </w:pPr>
    <w:rPr>
      <w:rFonts w:asciiTheme="majorHAnsi" w:eastAsiaTheme="majorEastAsia" w:hAnsiTheme="majorHAnsi" w:cstheme="majorBidi"/>
      <w:bCs/>
      <w:color w:val="C17529" w:themeColor="accent6"/>
      <w:sz w:val="24"/>
      <w:szCs w:val="24"/>
    </w:rPr>
  </w:style>
  <w:style w:type="paragraph" w:styleId="Naslov7">
    <w:name w:val="heading 7"/>
    <w:basedOn w:val="Normal"/>
    <w:next w:val="Normal"/>
    <w:link w:val="Naslov7Char"/>
    <w:uiPriority w:val="9"/>
    <w:semiHidden/>
    <w:unhideWhenUsed/>
    <w:qFormat/>
    <w:rsid w:val="00E26C23"/>
    <w:pPr>
      <w:keepNext/>
      <w:keepLines/>
      <w:spacing w:before="40" w:after="0" w:line="288" w:lineRule="auto"/>
      <w:outlineLvl w:val="6"/>
    </w:pPr>
    <w:rPr>
      <w:rFonts w:asciiTheme="majorHAnsi" w:eastAsiaTheme="majorEastAsia" w:hAnsiTheme="majorHAnsi" w:cstheme="majorBidi"/>
      <w:b/>
      <w:color w:val="C17529" w:themeColor="accent6"/>
      <w:sz w:val="24"/>
      <w:szCs w:val="24"/>
    </w:rPr>
  </w:style>
  <w:style w:type="paragraph" w:styleId="Naslov8">
    <w:name w:val="heading 8"/>
    <w:basedOn w:val="Normal"/>
    <w:next w:val="Normal"/>
    <w:link w:val="Naslov8Char"/>
    <w:uiPriority w:val="9"/>
    <w:semiHidden/>
    <w:unhideWhenUsed/>
    <w:qFormat/>
    <w:rsid w:val="00E26C23"/>
    <w:pPr>
      <w:keepNext/>
      <w:keepLines/>
      <w:spacing w:before="40" w:after="0" w:line="288" w:lineRule="auto"/>
      <w:outlineLvl w:val="7"/>
    </w:pPr>
    <w:rPr>
      <w:rFonts w:asciiTheme="majorHAnsi" w:eastAsiaTheme="majorEastAsia" w:hAnsiTheme="majorHAnsi" w:cstheme="majorBidi"/>
      <w:b/>
      <w:i/>
      <w:iCs/>
      <w:color w:val="C17529" w:themeColor="accent6"/>
      <w:sz w:val="20"/>
      <w:szCs w:val="20"/>
    </w:rPr>
  </w:style>
  <w:style w:type="paragraph" w:styleId="Naslov9">
    <w:name w:val="heading 9"/>
    <w:basedOn w:val="Normal"/>
    <w:next w:val="Normal"/>
    <w:link w:val="Naslov9Char"/>
    <w:uiPriority w:val="9"/>
    <w:semiHidden/>
    <w:unhideWhenUsed/>
    <w:qFormat/>
    <w:rsid w:val="00E26C23"/>
    <w:pPr>
      <w:keepNext/>
      <w:keepLines/>
      <w:spacing w:before="40" w:after="0" w:line="288" w:lineRule="auto"/>
      <w:outlineLvl w:val="8"/>
    </w:pPr>
    <w:rPr>
      <w:rFonts w:asciiTheme="majorHAnsi" w:eastAsiaTheme="majorEastAsia" w:hAnsiTheme="majorHAnsi" w:cstheme="majorBidi"/>
      <w:bCs/>
      <w:i/>
      <w:iCs/>
      <w:color w:val="C17529" w:themeColor="accent6"/>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E26C23"/>
    <w:pPr>
      <w:spacing w:after="0" w:line="240" w:lineRule="auto"/>
    </w:pPr>
  </w:style>
  <w:style w:type="character" w:customStyle="1" w:styleId="Naslov1Char">
    <w:name w:val="Naslov 1 Char"/>
    <w:basedOn w:val="Zadanifontodlomka"/>
    <w:link w:val="Naslov1"/>
    <w:uiPriority w:val="9"/>
    <w:rsid w:val="00E26C23"/>
    <w:rPr>
      <w:rFonts w:asciiTheme="majorHAnsi" w:eastAsiaTheme="majorEastAsia" w:hAnsiTheme="majorHAnsi" w:cstheme="majorBidi"/>
      <w:color w:val="90571E" w:themeColor="accent6" w:themeShade="BF"/>
      <w:sz w:val="40"/>
      <w:szCs w:val="40"/>
    </w:rPr>
  </w:style>
  <w:style w:type="character" w:customStyle="1" w:styleId="Naslov2Char">
    <w:name w:val="Naslov 2 Char"/>
    <w:basedOn w:val="Zadanifontodlomka"/>
    <w:link w:val="Naslov2"/>
    <w:uiPriority w:val="9"/>
    <w:semiHidden/>
    <w:rsid w:val="00E26C23"/>
    <w:rPr>
      <w:rFonts w:asciiTheme="majorHAnsi" w:eastAsiaTheme="majorEastAsia" w:hAnsiTheme="majorHAnsi" w:cstheme="majorBidi"/>
      <w:color w:val="90571E" w:themeColor="accent6" w:themeShade="BF"/>
      <w:sz w:val="28"/>
      <w:szCs w:val="28"/>
    </w:rPr>
  </w:style>
  <w:style w:type="character" w:customStyle="1" w:styleId="Naslov3Char">
    <w:name w:val="Naslov 3 Char"/>
    <w:basedOn w:val="Zadanifontodlomka"/>
    <w:link w:val="Naslov3"/>
    <w:uiPriority w:val="9"/>
    <w:semiHidden/>
    <w:rsid w:val="00E26C23"/>
    <w:rPr>
      <w:rFonts w:asciiTheme="majorHAnsi" w:eastAsiaTheme="majorEastAsia" w:hAnsiTheme="majorHAnsi" w:cstheme="majorBidi"/>
      <w:color w:val="90571E" w:themeColor="accent6" w:themeShade="BF"/>
      <w:sz w:val="24"/>
      <w:szCs w:val="24"/>
    </w:rPr>
  </w:style>
  <w:style w:type="character" w:customStyle="1" w:styleId="Naslov4Char">
    <w:name w:val="Naslov 4 Char"/>
    <w:basedOn w:val="Zadanifontodlomka"/>
    <w:link w:val="Naslov4"/>
    <w:uiPriority w:val="9"/>
    <w:semiHidden/>
    <w:rsid w:val="00E26C23"/>
    <w:rPr>
      <w:rFonts w:asciiTheme="majorHAnsi" w:eastAsiaTheme="majorEastAsia" w:hAnsiTheme="majorHAnsi" w:cstheme="majorBidi"/>
      <w:color w:val="C17529" w:themeColor="accent6"/>
      <w:sz w:val="22"/>
      <w:szCs w:val="22"/>
    </w:rPr>
  </w:style>
  <w:style w:type="character" w:customStyle="1" w:styleId="Naslov5Char">
    <w:name w:val="Naslov 5 Char"/>
    <w:basedOn w:val="Zadanifontodlomka"/>
    <w:link w:val="Naslov5"/>
    <w:uiPriority w:val="9"/>
    <w:semiHidden/>
    <w:rsid w:val="00E26C23"/>
    <w:rPr>
      <w:rFonts w:asciiTheme="majorHAnsi" w:eastAsiaTheme="majorEastAsia" w:hAnsiTheme="majorHAnsi" w:cstheme="majorBidi"/>
      <w:i/>
      <w:iCs/>
      <w:color w:val="C17529" w:themeColor="accent6"/>
      <w:sz w:val="22"/>
      <w:szCs w:val="22"/>
    </w:rPr>
  </w:style>
  <w:style w:type="character" w:customStyle="1" w:styleId="Naslov6Char">
    <w:name w:val="Naslov 6 Char"/>
    <w:basedOn w:val="Zadanifontodlomka"/>
    <w:link w:val="Naslov6"/>
    <w:uiPriority w:val="9"/>
    <w:semiHidden/>
    <w:rsid w:val="00E26C23"/>
    <w:rPr>
      <w:rFonts w:asciiTheme="majorHAnsi" w:eastAsiaTheme="majorEastAsia" w:hAnsiTheme="majorHAnsi" w:cstheme="majorBidi"/>
      <w:color w:val="C17529" w:themeColor="accent6"/>
    </w:rPr>
  </w:style>
  <w:style w:type="character" w:customStyle="1" w:styleId="Naslov7Char">
    <w:name w:val="Naslov 7 Char"/>
    <w:basedOn w:val="Zadanifontodlomka"/>
    <w:link w:val="Naslov7"/>
    <w:uiPriority w:val="9"/>
    <w:semiHidden/>
    <w:rsid w:val="00E26C23"/>
    <w:rPr>
      <w:rFonts w:asciiTheme="majorHAnsi" w:eastAsiaTheme="majorEastAsia" w:hAnsiTheme="majorHAnsi" w:cstheme="majorBidi"/>
      <w:b/>
      <w:bCs w:val="0"/>
      <w:color w:val="C17529" w:themeColor="accent6"/>
    </w:rPr>
  </w:style>
  <w:style w:type="character" w:customStyle="1" w:styleId="Naslov8Char">
    <w:name w:val="Naslov 8 Char"/>
    <w:basedOn w:val="Zadanifontodlomka"/>
    <w:link w:val="Naslov8"/>
    <w:uiPriority w:val="9"/>
    <w:semiHidden/>
    <w:rsid w:val="00E26C23"/>
    <w:rPr>
      <w:rFonts w:asciiTheme="majorHAnsi" w:eastAsiaTheme="majorEastAsia" w:hAnsiTheme="majorHAnsi" w:cstheme="majorBidi"/>
      <w:b/>
      <w:bCs w:val="0"/>
      <w:i/>
      <w:iCs/>
      <w:color w:val="C17529" w:themeColor="accent6"/>
      <w:sz w:val="20"/>
      <w:szCs w:val="20"/>
    </w:rPr>
  </w:style>
  <w:style w:type="character" w:customStyle="1" w:styleId="Naslov9Char">
    <w:name w:val="Naslov 9 Char"/>
    <w:basedOn w:val="Zadanifontodlomka"/>
    <w:link w:val="Naslov9"/>
    <w:uiPriority w:val="9"/>
    <w:semiHidden/>
    <w:rsid w:val="00E26C23"/>
    <w:rPr>
      <w:rFonts w:asciiTheme="majorHAnsi" w:eastAsiaTheme="majorEastAsia" w:hAnsiTheme="majorHAnsi" w:cstheme="majorBidi"/>
      <w:i/>
      <w:iCs/>
      <w:color w:val="C17529" w:themeColor="accent6"/>
      <w:sz w:val="20"/>
      <w:szCs w:val="20"/>
    </w:rPr>
  </w:style>
  <w:style w:type="paragraph" w:styleId="Opisslike">
    <w:name w:val="caption"/>
    <w:basedOn w:val="Normal"/>
    <w:next w:val="Normal"/>
    <w:uiPriority w:val="35"/>
    <w:semiHidden/>
    <w:unhideWhenUsed/>
    <w:qFormat/>
    <w:rsid w:val="00E26C23"/>
    <w:pPr>
      <w:spacing w:after="200" w:line="240" w:lineRule="auto"/>
    </w:pPr>
    <w:rPr>
      <w:rFonts w:ascii="Cambria" w:hAnsi="Cambria"/>
      <w:b/>
      <w:smallCaps/>
      <w:color w:val="595959" w:themeColor="text1" w:themeTint="A6"/>
      <w:sz w:val="24"/>
      <w:szCs w:val="24"/>
    </w:rPr>
  </w:style>
  <w:style w:type="paragraph" w:styleId="Naslov">
    <w:name w:val="Title"/>
    <w:basedOn w:val="Normal"/>
    <w:next w:val="Normal"/>
    <w:link w:val="NaslovChar"/>
    <w:uiPriority w:val="10"/>
    <w:qFormat/>
    <w:rsid w:val="00E26C23"/>
    <w:pPr>
      <w:spacing w:after="0" w:line="240" w:lineRule="auto"/>
      <w:contextualSpacing/>
    </w:pPr>
    <w:rPr>
      <w:rFonts w:asciiTheme="majorHAnsi" w:eastAsiaTheme="majorEastAsia" w:hAnsiTheme="majorHAnsi" w:cstheme="majorBidi"/>
      <w:bCs/>
      <w:color w:val="262626" w:themeColor="text1" w:themeTint="D9"/>
      <w:spacing w:val="-15"/>
      <w:sz w:val="96"/>
      <w:szCs w:val="96"/>
    </w:rPr>
  </w:style>
  <w:style w:type="character" w:customStyle="1" w:styleId="NaslovChar">
    <w:name w:val="Naslov Char"/>
    <w:basedOn w:val="Zadanifontodlomka"/>
    <w:link w:val="Naslov"/>
    <w:uiPriority w:val="10"/>
    <w:rsid w:val="00E26C23"/>
    <w:rPr>
      <w:rFonts w:asciiTheme="majorHAnsi" w:eastAsiaTheme="majorEastAsia" w:hAnsiTheme="majorHAnsi" w:cstheme="majorBidi"/>
      <w:color w:val="262626" w:themeColor="text1" w:themeTint="D9"/>
      <w:spacing w:val="-15"/>
      <w:sz w:val="96"/>
      <w:szCs w:val="96"/>
    </w:rPr>
  </w:style>
  <w:style w:type="paragraph" w:styleId="Podnaslov">
    <w:name w:val="Subtitle"/>
    <w:basedOn w:val="Normal"/>
    <w:next w:val="Normal"/>
    <w:link w:val="PodnaslovChar"/>
    <w:uiPriority w:val="11"/>
    <w:qFormat/>
    <w:rsid w:val="00E26C23"/>
    <w:pPr>
      <w:numPr>
        <w:ilvl w:val="1"/>
      </w:numPr>
      <w:spacing w:after="200" w:line="240" w:lineRule="auto"/>
    </w:pPr>
    <w:rPr>
      <w:rFonts w:asciiTheme="majorHAnsi" w:eastAsiaTheme="majorEastAsia" w:hAnsiTheme="majorHAnsi" w:cstheme="majorBidi"/>
      <w:bCs/>
      <w:sz w:val="30"/>
      <w:szCs w:val="30"/>
    </w:rPr>
  </w:style>
  <w:style w:type="character" w:customStyle="1" w:styleId="PodnaslovChar">
    <w:name w:val="Podnaslov Char"/>
    <w:basedOn w:val="Zadanifontodlomka"/>
    <w:link w:val="Podnaslov"/>
    <w:uiPriority w:val="11"/>
    <w:rsid w:val="00E26C23"/>
    <w:rPr>
      <w:rFonts w:asciiTheme="majorHAnsi" w:eastAsiaTheme="majorEastAsia" w:hAnsiTheme="majorHAnsi" w:cstheme="majorBidi"/>
      <w:sz w:val="30"/>
      <w:szCs w:val="30"/>
    </w:rPr>
  </w:style>
  <w:style w:type="character" w:styleId="Naglaeno">
    <w:name w:val="Strong"/>
    <w:basedOn w:val="Zadanifontodlomka"/>
    <w:uiPriority w:val="22"/>
    <w:qFormat/>
    <w:rsid w:val="00E26C23"/>
    <w:rPr>
      <w:b/>
      <w:bCs w:val="0"/>
    </w:rPr>
  </w:style>
  <w:style w:type="character" w:styleId="Istaknuto">
    <w:name w:val="Emphasis"/>
    <w:basedOn w:val="Zadanifontodlomka"/>
    <w:uiPriority w:val="20"/>
    <w:qFormat/>
    <w:rsid w:val="00E26C23"/>
    <w:rPr>
      <w:i/>
      <w:iCs/>
      <w:color w:val="C17529" w:themeColor="accent6"/>
    </w:rPr>
  </w:style>
  <w:style w:type="paragraph" w:styleId="Citat">
    <w:name w:val="Quote"/>
    <w:basedOn w:val="Normal"/>
    <w:next w:val="Normal"/>
    <w:link w:val="CitatChar"/>
    <w:uiPriority w:val="29"/>
    <w:qFormat/>
    <w:rsid w:val="00E26C23"/>
    <w:pPr>
      <w:spacing w:before="160" w:after="200" w:line="288" w:lineRule="auto"/>
      <w:ind w:left="720" w:right="720"/>
      <w:jc w:val="center"/>
    </w:pPr>
    <w:rPr>
      <w:rFonts w:ascii="Cambria" w:hAnsi="Cambria"/>
      <w:bCs/>
      <w:i/>
      <w:iCs/>
      <w:color w:val="262626" w:themeColor="text1" w:themeTint="D9"/>
      <w:sz w:val="24"/>
      <w:szCs w:val="24"/>
    </w:rPr>
  </w:style>
  <w:style w:type="character" w:customStyle="1" w:styleId="CitatChar">
    <w:name w:val="Citat Char"/>
    <w:basedOn w:val="Zadanifontodlomka"/>
    <w:link w:val="Citat"/>
    <w:uiPriority w:val="29"/>
    <w:rsid w:val="00E26C23"/>
    <w:rPr>
      <w:i/>
      <w:iCs/>
      <w:color w:val="262626" w:themeColor="text1" w:themeTint="D9"/>
    </w:rPr>
  </w:style>
  <w:style w:type="paragraph" w:styleId="Naglaencitat">
    <w:name w:val="Intense Quote"/>
    <w:basedOn w:val="Normal"/>
    <w:next w:val="Normal"/>
    <w:link w:val="NaglaencitatChar"/>
    <w:uiPriority w:val="30"/>
    <w:qFormat/>
    <w:rsid w:val="00E26C23"/>
    <w:pPr>
      <w:spacing w:before="160" w:line="264" w:lineRule="auto"/>
      <w:ind w:left="720" w:right="720"/>
      <w:jc w:val="center"/>
    </w:pPr>
    <w:rPr>
      <w:rFonts w:asciiTheme="majorHAnsi" w:eastAsiaTheme="majorEastAsia" w:hAnsiTheme="majorHAnsi" w:cstheme="majorBidi"/>
      <w:bCs/>
      <w:i/>
      <w:iCs/>
      <w:color w:val="C17529" w:themeColor="accent6"/>
      <w:sz w:val="32"/>
      <w:szCs w:val="32"/>
    </w:rPr>
  </w:style>
  <w:style w:type="character" w:customStyle="1" w:styleId="NaglaencitatChar">
    <w:name w:val="Naglašen citat Char"/>
    <w:basedOn w:val="Zadanifontodlomka"/>
    <w:link w:val="Naglaencitat"/>
    <w:uiPriority w:val="30"/>
    <w:rsid w:val="00E26C23"/>
    <w:rPr>
      <w:rFonts w:asciiTheme="majorHAnsi" w:eastAsiaTheme="majorEastAsia" w:hAnsiTheme="majorHAnsi" w:cstheme="majorBidi"/>
      <w:i/>
      <w:iCs/>
      <w:color w:val="C17529" w:themeColor="accent6"/>
      <w:sz w:val="32"/>
      <w:szCs w:val="32"/>
    </w:rPr>
  </w:style>
  <w:style w:type="character" w:styleId="Neupadljivoisticanje">
    <w:name w:val="Subtle Emphasis"/>
    <w:basedOn w:val="Zadanifontodlomka"/>
    <w:uiPriority w:val="19"/>
    <w:qFormat/>
    <w:rsid w:val="00E26C23"/>
    <w:rPr>
      <w:i/>
      <w:iCs/>
    </w:rPr>
  </w:style>
  <w:style w:type="character" w:styleId="Jakoisticanje">
    <w:name w:val="Intense Emphasis"/>
    <w:basedOn w:val="Zadanifontodlomka"/>
    <w:uiPriority w:val="21"/>
    <w:qFormat/>
    <w:rsid w:val="00E26C23"/>
    <w:rPr>
      <w:b/>
      <w:bCs w:val="0"/>
      <w:i/>
      <w:iCs/>
    </w:rPr>
  </w:style>
  <w:style w:type="character" w:styleId="Neupadljivareferenca">
    <w:name w:val="Subtle Reference"/>
    <w:basedOn w:val="Zadanifontodlomka"/>
    <w:uiPriority w:val="31"/>
    <w:qFormat/>
    <w:rsid w:val="00E26C23"/>
    <w:rPr>
      <w:smallCaps/>
      <w:color w:val="595959" w:themeColor="text1" w:themeTint="A6"/>
    </w:rPr>
  </w:style>
  <w:style w:type="character" w:styleId="Istaknutareferenca">
    <w:name w:val="Intense Reference"/>
    <w:basedOn w:val="Zadanifontodlomka"/>
    <w:uiPriority w:val="32"/>
    <w:qFormat/>
    <w:rsid w:val="00E26C23"/>
    <w:rPr>
      <w:b/>
      <w:bCs w:val="0"/>
      <w:smallCaps/>
      <w:color w:val="C17529" w:themeColor="accent6"/>
    </w:rPr>
  </w:style>
  <w:style w:type="character" w:styleId="Naslovknjige">
    <w:name w:val="Book Title"/>
    <w:basedOn w:val="Zadanifontodlomka"/>
    <w:uiPriority w:val="33"/>
    <w:qFormat/>
    <w:rsid w:val="00E26C23"/>
    <w:rPr>
      <w:b/>
      <w:bCs w:val="0"/>
      <w:caps w:val="0"/>
      <w:smallCaps/>
      <w:spacing w:val="7"/>
      <w:sz w:val="21"/>
      <w:szCs w:val="21"/>
    </w:rPr>
  </w:style>
  <w:style w:type="paragraph" w:styleId="TOCNaslov">
    <w:name w:val="TOC Heading"/>
    <w:basedOn w:val="Naslov1"/>
    <w:next w:val="Normal"/>
    <w:uiPriority w:val="39"/>
    <w:semiHidden/>
    <w:unhideWhenUsed/>
    <w:qFormat/>
    <w:rsid w:val="00E26C23"/>
    <w:pPr>
      <w:outlineLvl w:val="9"/>
    </w:pPr>
  </w:style>
  <w:style w:type="paragraph" w:styleId="StandardWeb">
    <w:name w:val="Normal (Web)"/>
    <w:basedOn w:val="Normal"/>
    <w:uiPriority w:val="99"/>
    <w:unhideWhenUsed/>
    <w:rsid w:val="00FA13B7"/>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Zaglavlje">
    <w:name w:val="header"/>
    <w:basedOn w:val="Normal"/>
    <w:link w:val="ZaglavljeChar"/>
    <w:uiPriority w:val="99"/>
    <w:unhideWhenUsed/>
    <w:rsid w:val="00FB47C1"/>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FB47C1"/>
    <w:rPr>
      <w:rFonts w:asciiTheme="minorHAnsi" w:hAnsiTheme="minorHAnsi"/>
      <w:bCs w:val="0"/>
      <w:sz w:val="22"/>
      <w:szCs w:val="22"/>
    </w:rPr>
  </w:style>
  <w:style w:type="paragraph" w:styleId="Podnoje">
    <w:name w:val="footer"/>
    <w:basedOn w:val="Normal"/>
    <w:link w:val="PodnojeChar"/>
    <w:uiPriority w:val="99"/>
    <w:unhideWhenUsed/>
    <w:rsid w:val="00FB47C1"/>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FB47C1"/>
    <w:rPr>
      <w:rFonts w:asciiTheme="minorHAnsi" w:hAnsiTheme="minorHAnsi"/>
      <w:bCs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Žuto-narančasta">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5</Pages>
  <Words>1593</Words>
  <Characters>9081</Characters>
  <Application>Microsoft Office Word</Application>
  <DocSecurity>0</DocSecurity>
  <Lines>75</Lines>
  <Paragraphs>21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Dubravka Hrabar</dc:creator>
  <cp:keywords/>
  <dc:description/>
  <cp:lastModifiedBy>Dubravka Hrabar</cp:lastModifiedBy>
  <cp:revision>2</cp:revision>
  <dcterms:created xsi:type="dcterms:W3CDTF">2022-02-04T17:26:00Z</dcterms:created>
  <dcterms:modified xsi:type="dcterms:W3CDTF">2022-02-04T17:43:00Z</dcterms:modified>
</cp:coreProperties>
</file>